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99" w:rsidRPr="007829A8" w:rsidRDefault="00965499" w:rsidP="007829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829A8">
        <w:rPr>
          <w:rFonts w:ascii="Times New Roman" w:hAnsi="Times New Roman"/>
          <w:b/>
          <w:sz w:val="26"/>
          <w:szCs w:val="26"/>
        </w:rPr>
        <w:t>Формы поддержки субъектов малого и среднего предпринимательства, предоставляемые Фондом поддержки предпринимательства Югры</w:t>
      </w:r>
    </w:p>
    <w:p w:rsidR="00965499" w:rsidRPr="007829A8" w:rsidRDefault="00965499" w:rsidP="007829A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5499" w:rsidRPr="007829A8" w:rsidRDefault="00965499" w:rsidP="007829A8">
      <w:pPr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 xml:space="preserve">Контактная информация: Нефтеюганский филиал ФПП Югры, 2 микрорайон, 32 дом, 215 офис, телефоны 8(3463)222822, 224302, 89088806120,  электронная почта </w:t>
      </w:r>
      <w:hyperlink r:id="rId5" w:history="1"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ugansk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</w:rPr>
          <w:t>@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sb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</w:rPr>
          <w:t>-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ugra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</w:rPr>
          <w:t>.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7829A8">
        <w:rPr>
          <w:rFonts w:ascii="Times New Roman" w:hAnsi="Times New Roman"/>
          <w:sz w:val="26"/>
          <w:szCs w:val="26"/>
        </w:rPr>
        <w:t xml:space="preserve">; </w:t>
      </w:r>
      <w:hyperlink r:id="rId6" w:history="1"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metelskaya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</w:rPr>
          <w:t>@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sb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</w:rPr>
          <w:t>-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ugra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</w:rPr>
          <w:t>.</w:t>
        </w:r>
        <w:r w:rsidRPr="007829A8">
          <w:rPr>
            <w:rStyle w:val="Hyperlink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7829A8">
        <w:rPr>
          <w:rFonts w:ascii="Times New Roman" w:hAnsi="Times New Roman"/>
          <w:sz w:val="26"/>
          <w:szCs w:val="26"/>
        </w:rPr>
        <w:t xml:space="preserve">. </w:t>
      </w:r>
    </w:p>
    <w:p w:rsidR="00965499" w:rsidRPr="007829A8" w:rsidRDefault="00965499" w:rsidP="007829A8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5499" w:rsidRPr="007829A8" w:rsidRDefault="00965499" w:rsidP="007829A8">
      <w:pPr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5499" w:rsidRPr="007829A8" w:rsidRDefault="00965499" w:rsidP="007829A8">
      <w:pPr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hyperlink r:id="rId7" w:tgtFrame="_self" w:tooltip="Программа &amp;laquo;Гарантия&amp;raquo;" w:history="1">
        <w:r w:rsidRPr="007829A8">
          <w:rPr>
            <w:rStyle w:val="Hyperlink"/>
            <w:rFonts w:ascii="Times New Roman" w:hAnsi="Times New Roman"/>
            <w:b/>
            <w:color w:val="auto"/>
            <w:sz w:val="26"/>
            <w:szCs w:val="26"/>
            <w:shd w:val="clear" w:color="auto" w:fill="FFFFFF"/>
          </w:rPr>
          <w:t>Предоставление поручительств (Программа «Гарантия»)</w:t>
        </w:r>
      </w:hyperlink>
    </w:p>
    <w:p w:rsidR="00965499" w:rsidRPr="007829A8" w:rsidRDefault="00965499" w:rsidP="007829A8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829A8">
        <w:rPr>
          <w:rFonts w:ascii="Times New Roman" w:hAnsi="Times New Roman"/>
          <w:sz w:val="26"/>
          <w:szCs w:val="26"/>
          <w:shd w:val="clear" w:color="auto" w:fill="FFFFFF"/>
        </w:rPr>
        <w:t>Основным направлением деятельности Фонда поддержки предпринимательства Югры является предоставление поручительств по обязательствам (кредитам, займам, банковским гарантиям) субъектов малого и среднего предпринимательства перед банками (</w:t>
      </w:r>
      <w:r w:rsidRPr="007829A8">
        <w:rPr>
          <w:rFonts w:ascii="Times New Roman" w:hAnsi="Times New Roman"/>
          <w:bCs/>
          <w:sz w:val="26"/>
          <w:szCs w:val="26"/>
        </w:rPr>
        <w:t>Программа «Гарантия»</w:t>
      </w:r>
      <w:r w:rsidRPr="007829A8">
        <w:rPr>
          <w:rFonts w:ascii="Times New Roman" w:hAnsi="Times New Roman"/>
          <w:sz w:val="26"/>
          <w:szCs w:val="26"/>
          <w:shd w:val="clear" w:color="auto" w:fill="FFFFFF"/>
        </w:rPr>
        <w:t>).</w:t>
      </w:r>
    </w:p>
    <w:p w:rsidR="00965499" w:rsidRPr="007829A8" w:rsidRDefault="00965499" w:rsidP="007829A8">
      <w:pPr>
        <w:pStyle w:val="ListParagraph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Максимальный размер поручительства Фонда – до 70% от суммы кредита или банковской гарантии, но не более 59 396 070 рублей.</w:t>
      </w:r>
    </w:p>
    <w:p w:rsidR="00965499" w:rsidRPr="007829A8" w:rsidRDefault="00965499" w:rsidP="007829A8">
      <w:pPr>
        <w:pStyle w:val="ListParagraph"/>
        <w:numPr>
          <w:ilvl w:val="0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Вознаграждение Фонду за предоставление поручительства уплачивается субъектом (организацией) единовременно или с рассрочкой платежа.</w:t>
      </w:r>
    </w:p>
    <w:p w:rsidR="00965499" w:rsidRPr="007829A8" w:rsidRDefault="00965499" w:rsidP="007829A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Размер вознаграждения, уплачиваемого Фонду, за предоставленное поручительство:</w:t>
      </w:r>
    </w:p>
    <w:p w:rsidR="00965499" w:rsidRPr="007829A8" w:rsidRDefault="00965499" w:rsidP="007829A8">
      <w:pPr>
        <w:pStyle w:val="ListParagraph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по кредитным договорам, договорам финансовой аренды (лизинга) и договорам о предоставлении банковской гарантии в сумме, превышающей 1 000 000 руб., но не более 3 000 000 руб. – без взимания платы</w:t>
      </w:r>
    </w:p>
    <w:p w:rsidR="00965499" w:rsidRPr="007829A8" w:rsidRDefault="00965499" w:rsidP="007829A8">
      <w:pPr>
        <w:pStyle w:val="ListParagraph"/>
        <w:numPr>
          <w:ilvl w:val="0"/>
          <w:numId w:val="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по кредитным договорам, договорам финансовой аренды (лизинга) и договорам о предоставлении банковской гарантии в сумме более 3 000 000 руб.: а) для субъектов, относящихся к особой категории и социальному предпринимательству – 0,5% годовых от суммы предоставленного поручительства; б) для иных субъектов – 0,75% годовых от суммы предоставленного поручительства.</w:t>
      </w:r>
    </w:p>
    <w:p w:rsidR="00965499" w:rsidRPr="007829A8" w:rsidRDefault="00965499" w:rsidP="007829A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65499" w:rsidRPr="007829A8" w:rsidRDefault="00965499" w:rsidP="007829A8">
      <w:pPr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7829A8">
        <w:rPr>
          <w:rFonts w:ascii="Times New Roman" w:hAnsi="Times New Roman"/>
          <w:b/>
          <w:sz w:val="26"/>
          <w:szCs w:val="26"/>
        </w:rPr>
        <w:t>Образовательные мероприятия</w:t>
      </w:r>
    </w:p>
    <w:p w:rsidR="00965499" w:rsidRDefault="00965499" w:rsidP="007B17A5">
      <w:pPr>
        <w:numPr>
          <w:ilvl w:val="1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организация Фондом безвозмездных образовательных мероприятий;</w:t>
      </w:r>
    </w:p>
    <w:p w:rsidR="00965499" w:rsidRPr="007829A8" w:rsidRDefault="00965499" w:rsidP="007B17A5">
      <w:pPr>
        <w:numPr>
          <w:ilvl w:val="1"/>
          <w:numId w:val="14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компенсация части затрат Субъектов и Организаций по участию их либо сотрудников в образовательных мероприятиях.</w:t>
      </w:r>
    </w:p>
    <w:p w:rsidR="00965499" w:rsidRPr="007829A8" w:rsidRDefault="00965499" w:rsidP="007829A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  <w:r w:rsidRPr="007829A8">
        <w:rPr>
          <w:rFonts w:ascii="Times New Roman" w:hAnsi="Times New Roman"/>
          <w:sz w:val="26"/>
          <w:szCs w:val="26"/>
          <w:u w:val="single"/>
        </w:rPr>
        <w:t>Информационно-консультационная поддержка</w:t>
      </w:r>
    </w:p>
    <w:p w:rsidR="00965499" w:rsidRPr="007829A8" w:rsidRDefault="00965499" w:rsidP="007829A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Фонд поддержки предпринимательства Югры на постоянной основе проводит ряд мероприятий, направленных на информирование населения о действующих механизмах государственной поддержки субъектов малого и среднего предпринимательства и консультирование предпринимателей об условиях её предоставления. Фонд совместно с администрациями муниципальных образований и территориальными центрами занятости населения проводят выездные встречи с предпринимателями во всех населённых пунктах Ханты-Мансийского автономного округа — Югры. Данная работа проводится с января 2011 года. </w:t>
      </w:r>
    </w:p>
    <w:p w:rsidR="00965499" w:rsidRPr="007829A8" w:rsidRDefault="00965499" w:rsidP="007829A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65499" w:rsidRPr="007829A8" w:rsidRDefault="00965499" w:rsidP="007829A8">
      <w:pPr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</w:rPr>
      </w:pPr>
      <w:hyperlink r:id="rId8" w:tgtFrame="_self" w:history="1">
        <w:r w:rsidRPr="007829A8">
          <w:rPr>
            <w:rFonts w:ascii="Times New Roman" w:hAnsi="Times New Roman"/>
            <w:b/>
            <w:sz w:val="26"/>
            <w:szCs w:val="26"/>
          </w:rPr>
          <w:t>Компенсация части затрат по уплате лизинговых платежей</w:t>
        </w:r>
      </w:hyperlink>
    </w:p>
    <w:p w:rsidR="00965499" w:rsidRPr="007829A8" w:rsidRDefault="00965499" w:rsidP="007B17A5">
      <w:pPr>
        <w:shd w:val="clear" w:color="auto" w:fill="FFFFFF"/>
        <w:suppressAutoHyphens/>
        <w:spacing w:after="0" w:line="240" w:lineRule="auto"/>
        <w:ind w:firstLine="360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bCs/>
          <w:sz w:val="26"/>
          <w:szCs w:val="26"/>
        </w:rPr>
        <w:t>Размер компенсации: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965499" w:rsidRDefault="00965499" w:rsidP="007B17A5">
      <w:pPr>
        <w:numPr>
          <w:ilvl w:val="2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bCs/>
          <w:sz w:val="26"/>
          <w:szCs w:val="26"/>
        </w:rPr>
        <w:t>в размере не более 2/3 ставки рефинансирования Центрального банка Российской Федерации</w:t>
      </w:r>
      <w:r w:rsidRPr="007829A8">
        <w:rPr>
          <w:rFonts w:ascii="Times New Roman" w:hAnsi="Times New Roman"/>
          <w:sz w:val="26"/>
          <w:szCs w:val="26"/>
        </w:rPr>
        <w:t>, действующей на дату заключения соглашения о предоставлении Поддержки, исчисляемом от размера лизингового платежа, с периодичностью, установленной для уплаты лизинговых платежей по договору лизинга;</w:t>
      </w:r>
    </w:p>
    <w:p w:rsidR="00965499" w:rsidRDefault="00965499" w:rsidP="007B17A5">
      <w:pPr>
        <w:numPr>
          <w:ilvl w:val="2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bCs/>
          <w:sz w:val="26"/>
          <w:szCs w:val="26"/>
        </w:rPr>
        <w:t>в размере не более 1/3 ставки рефинансирования Центрального банка Российской Федерации</w:t>
      </w:r>
      <w:r w:rsidRPr="007829A8">
        <w:rPr>
          <w:rFonts w:ascii="Times New Roman" w:hAnsi="Times New Roman"/>
          <w:sz w:val="26"/>
          <w:szCs w:val="26"/>
        </w:rPr>
        <w:t>, действующей на дату заключения соглашения о предоставлении Поддержки, исчисляемом от размера лизингового платежа, с периодичностью, установленной для уплаты лизинговых платежей по договору лизинга, СМП осуществляющей транспортную деятельность;</w:t>
      </w:r>
    </w:p>
    <w:p w:rsidR="00965499" w:rsidRDefault="00965499" w:rsidP="007B17A5">
      <w:pPr>
        <w:numPr>
          <w:ilvl w:val="2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bCs/>
          <w:sz w:val="26"/>
          <w:szCs w:val="26"/>
        </w:rPr>
        <w:t>Компенсация части затрат по уплате первого взноса</w:t>
      </w:r>
      <w:r w:rsidRPr="007829A8">
        <w:rPr>
          <w:rFonts w:ascii="Times New Roman" w:hAnsi="Times New Roman"/>
          <w:sz w:val="26"/>
          <w:szCs w:val="26"/>
        </w:rPr>
        <w:t> (авансового платежа) по договору лизинга, предоставляется в размере не более 50% первого взноса (авансового платежа), но не более 500 тыс.рублей. </w:t>
      </w:r>
    </w:p>
    <w:p w:rsidR="00965499" w:rsidRPr="007829A8" w:rsidRDefault="00965499" w:rsidP="007B17A5">
      <w:pPr>
        <w:numPr>
          <w:ilvl w:val="2"/>
          <w:numId w:val="12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bCs/>
          <w:sz w:val="26"/>
          <w:szCs w:val="26"/>
        </w:rPr>
        <w:t>Размер компенсации не может превышать 3 000 000</w:t>
      </w:r>
      <w:r w:rsidRPr="007829A8">
        <w:rPr>
          <w:rFonts w:ascii="Times New Roman" w:hAnsi="Times New Roman"/>
          <w:sz w:val="26"/>
          <w:szCs w:val="26"/>
        </w:rPr>
        <w:t>, для особой категории 5 000 000 рублей, для особой категории компенсация лизинговых платежей может быть выплачена в форме авансирования.</w:t>
      </w:r>
    </w:p>
    <w:p w:rsidR="00965499" w:rsidRPr="007829A8" w:rsidRDefault="00965499" w:rsidP="007829A8">
      <w:pPr>
        <w:shd w:val="clear" w:color="auto" w:fill="FFFFFF"/>
        <w:suppressAutoHyphens/>
        <w:spacing w:after="0" w:line="240" w:lineRule="auto"/>
        <w:ind w:left="-360"/>
        <w:jc w:val="both"/>
        <w:rPr>
          <w:rFonts w:ascii="Times New Roman" w:hAnsi="Times New Roman"/>
          <w:sz w:val="26"/>
          <w:szCs w:val="26"/>
        </w:rPr>
      </w:pPr>
    </w:p>
    <w:p w:rsidR="00965499" w:rsidRPr="007B17A5" w:rsidRDefault="00965499" w:rsidP="007829A8">
      <w:pPr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B17A5">
        <w:rPr>
          <w:rFonts w:ascii="Times New Roman" w:hAnsi="Times New Roman"/>
          <w:b/>
          <w:sz w:val="26"/>
          <w:szCs w:val="26"/>
          <w:u w:val="single"/>
        </w:rPr>
        <w:t>Компенсация банковской процентной ставки</w:t>
      </w:r>
    </w:p>
    <w:p w:rsidR="00965499" w:rsidRPr="007829A8" w:rsidRDefault="00965499" w:rsidP="007B17A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bCs/>
          <w:sz w:val="26"/>
          <w:szCs w:val="26"/>
        </w:rPr>
        <w:t>Размер компенсации:</w:t>
      </w:r>
    </w:p>
    <w:p w:rsidR="00965499" w:rsidRDefault="00965499" w:rsidP="007B17A5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в размере не более 2/3 ставки рефинансирования Центрального банка Российской Федерации, действующей на дату заключения соглашения о предоставлении Поддержки, исчисляемом от остаточной суммы кредита, с периодичностью, установленной для уплаты процентов по кредитному договору, по кредитам до 5 000 000 (Пяти миллионов) рублей;</w:t>
      </w:r>
    </w:p>
    <w:p w:rsidR="00965499" w:rsidRDefault="00965499" w:rsidP="007B17A5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в размере не более 1/2 ставки рефинансирования Центрального банка Российской Федерации, действующей на дату заключения соглашения о предоставлении Поддержки, исчисляемом от остаточной суммы кредита, с периодичностью, установленной для уплаты процентов по кредитному договору, по кредитам свыше 5 000 000 (Пяти миллионов) рублей;</w:t>
      </w:r>
    </w:p>
    <w:p w:rsidR="00965499" w:rsidRDefault="00965499" w:rsidP="007B17A5">
      <w:pPr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Размер компенсации не может превышать 3 000 000, для особой категории 5 000 000 рублей (для особой категории компенсация банковской процентной ставки может быть выплачена в форме авансирования).</w:t>
      </w:r>
    </w:p>
    <w:p w:rsidR="00965499" w:rsidRPr="007829A8" w:rsidRDefault="00965499" w:rsidP="007B17A5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965499" w:rsidRPr="007B17A5" w:rsidRDefault="00965499" w:rsidP="007829A8">
      <w:pPr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B17A5">
        <w:rPr>
          <w:rFonts w:ascii="Times New Roman" w:hAnsi="Times New Roman"/>
          <w:b/>
          <w:sz w:val="26"/>
          <w:szCs w:val="26"/>
          <w:u w:val="single"/>
        </w:rPr>
        <w:t>Грантовая поддержка</w:t>
      </w:r>
    </w:p>
    <w:p w:rsidR="00965499" w:rsidRDefault="00965499" w:rsidP="007B17A5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7829A8">
        <w:rPr>
          <w:rFonts w:ascii="Times New Roman" w:hAnsi="Times New Roman"/>
          <w:sz w:val="26"/>
          <w:szCs w:val="26"/>
          <w:shd w:val="clear" w:color="auto" w:fill="FFFFFF"/>
        </w:rPr>
        <w:t>Грантовая поддержка предоставляется участникам по результатам конкурса молодежных бизнес-проектов «Путь к успеху», зарегистрированных на территории Ханты-Мансийского автономного округа — Югры не более 1 года, на создание собственного бизнеса в размере не более 300 тыс. рублей.</w:t>
      </w:r>
    </w:p>
    <w:p w:rsidR="00965499" w:rsidRPr="007829A8" w:rsidRDefault="00965499" w:rsidP="007B17A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965499" w:rsidRPr="007B17A5" w:rsidRDefault="00965499" w:rsidP="007829A8">
      <w:pPr>
        <w:numPr>
          <w:ilvl w:val="1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7B17A5">
        <w:rPr>
          <w:rFonts w:ascii="Times New Roman" w:hAnsi="Times New Roman"/>
          <w:b/>
          <w:sz w:val="26"/>
          <w:szCs w:val="26"/>
          <w:u w:val="single"/>
        </w:rPr>
        <w:t>Центр инноваций социальной сферы (ЦИСС)</w:t>
      </w:r>
    </w:p>
    <w:p w:rsidR="00965499" w:rsidRPr="007829A8" w:rsidRDefault="00965499" w:rsidP="007B17A5">
      <w:pPr>
        <w:pStyle w:val="NormalWeb"/>
        <w:shd w:val="clear" w:color="auto" w:fill="FFFFFF"/>
        <w:suppressAutoHyphens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7829A8">
        <w:rPr>
          <w:sz w:val="26"/>
          <w:szCs w:val="26"/>
        </w:rPr>
        <w:t>Одним из приоритетных направлений Фонда поддержки предпринимательства Югры является реализация мероприятий по развитию социального предпринимательства в автономном округе. С этой целью на базе Фонда создан Центр инноваций социальной сферы (ЦИСС).</w:t>
      </w:r>
    </w:p>
    <w:p w:rsidR="00965499" w:rsidRPr="007829A8" w:rsidRDefault="00965499" w:rsidP="007829A8">
      <w:pPr>
        <w:pStyle w:val="NormalWeb"/>
        <w:shd w:val="clear" w:color="auto" w:fill="FFFFFF"/>
        <w:suppressAutoHyphens/>
        <w:spacing w:before="0" w:beforeAutospacing="0" w:after="0" w:afterAutospacing="0"/>
        <w:jc w:val="both"/>
        <w:rPr>
          <w:sz w:val="26"/>
          <w:szCs w:val="26"/>
        </w:rPr>
      </w:pPr>
      <w:r w:rsidRPr="007829A8">
        <w:rPr>
          <w:sz w:val="26"/>
          <w:szCs w:val="26"/>
        </w:rPr>
        <w:t>Задачи:</w:t>
      </w:r>
    </w:p>
    <w:p w:rsidR="00965499" w:rsidRDefault="00965499" w:rsidP="007B17A5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продвижение и поддержка социального предпринимательства, социальных проектов субъектов малого и среднего предпринимательства, поддержка и сопровождение социально ориентированных некоммерческих организаций;</w:t>
      </w:r>
    </w:p>
    <w:p w:rsidR="00965499" w:rsidRDefault="00965499" w:rsidP="007B17A5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информационно-аналитическое и юридическое сопровождение социально ориентирова</w:t>
      </w:r>
      <w:r>
        <w:rPr>
          <w:rFonts w:ascii="Times New Roman" w:hAnsi="Times New Roman"/>
          <w:sz w:val="26"/>
          <w:szCs w:val="26"/>
        </w:rPr>
        <w:t>нных некоммерческих организаций;</w:t>
      </w:r>
    </w:p>
    <w:p w:rsidR="00965499" w:rsidRDefault="00965499" w:rsidP="007B17A5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обмен опытом по поддержке социальных инициатив субъектов малого и среднего предпринимательства;</w:t>
      </w:r>
    </w:p>
    <w:p w:rsidR="00965499" w:rsidRPr="007B17A5" w:rsidRDefault="00965499" w:rsidP="007B17A5">
      <w:pPr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829A8">
        <w:rPr>
          <w:rFonts w:ascii="Times New Roman" w:hAnsi="Times New Roman"/>
          <w:sz w:val="26"/>
          <w:szCs w:val="26"/>
        </w:rPr>
        <w:t>проведение обучающих мероприятий по развитию компетенций в области социального предпринимательства.</w:t>
      </w:r>
    </w:p>
    <w:sectPr w:rsidR="00965499" w:rsidRPr="007B17A5" w:rsidSect="007829A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E7934"/>
    <w:multiLevelType w:val="hybridMultilevel"/>
    <w:tmpl w:val="372AA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CC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91026C"/>
    <w:multiLevelType w:val="multilevel"/>
    <w:tmpl w:val="22E2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A6070A"/>
    <w:multiLevelType w:val="multilevel"/>
    <w:tmpl w:val="6364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75A7F"/>
    <w:multiLevelType w:val="multilevel"/>
    <w:tmpl w:val="BCEAF4A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B6EAA"/>
    <w:multiLevelType w:val="hybridMultilevel"/>
    <w:tmpl w:val="96F0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E6AAB"/>
    <w:multiLevelType w:val="hybridMultilevel"/>
    <w:tmpl w:val="9C9A2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B198C"/>
    <w:multiLevelType w:val="hybridMultilevel"/>
    <w:tmpl w:val="69B01744"/>
    <w:lvl w:ilvl="0" w:tplc="92CC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3153F63"/>
    <w:multiLevelType w:val="multilevel"/>
    <w:tmpl w:val="9C9A28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F5216"/>
    <w:multiLevelType w:val="hybridMultilevel"/>
    <w:tmpl w:val="BCEAF4AC"/>
    <w:lvl w:ilvl="0" w:tplc="D5BE837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B66D64"/>
    <w:multiLevelType w:val="multilevel"/>
    <w:tmpl w:val="B47A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A74D44"/>
    <w:multiLevelType w:val="multilevel"/>
    <w:tmpl w:val="C0A2A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EF6CF0"/>
    <w:multiLevelType w:val="multilevel"/>
    <w:tmpl w:val="D050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AA54E4"/>
    <w:multiLevelType w:val="multilevel"/>
    <w:tmpl w:val="E99A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6E4233"/>
    <w:multiLevelType w:val="hybridMultilevel"/>
    <w:tmpl w:val="C0F05CCC"/>
    <w:lvl w:ilvl="0" w:tplc="92CC18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75477BB5"/>
    <w:multiLevelType w:val="hybridMultilevel"/>
    <w:tmpl w:val="427A8F5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92CC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7EC940A3"/>
    <w:multiLevelType w:val="multilevel"/>
    <w:tmpl w:val="D32A7F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10"/>
  </w:num>
  <w:num w:numId="8">
    <w:abstractNumId w:val="4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7"/>
  </w:num>
  <w:num w:numId="14">
    <w:abstractNumId w:val="0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3F2"/>
    <w:rsid w:val="000003F2"/>
    <w:rsid w:val="000B4F39"/>
    <w:rsid w:val="003040C2"/>
    <w:rsid w:val="0030463A"/>
    <w:rsid w:val="003301D3"/>
    <w:rsid w:val="003C5812"/>
    <w:rsid w:val="00480A95"/>
    <w:rsid w:val="00505F6D"/>
    <w:rsid w:val="00613DCA"/>
    <w:rsid w:val="007829A8"/>
    <w:rsid w:val="007B17A5"/>
    <w:rsid w:val="008A7A1E"/>
    <w:rsid w:val="00947C5D"/>
    <w:rsid w:val="00965499"/>
    <w:rsid w:val="00AE6C15"/>
    <w:rsid w:val="00B111E0"/>
    <w:rsid w:val="00B41D3B"/>
    <w:rsid w:val="00EE4BC0"/>
    <w:rsid w:val="00FC674D"/>
    <w:rsid w:val="00FD7C8B"/>
    <w:rsid w:val="00F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7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003F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E6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AE6C15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rsid w:val="00B111E0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046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-ugra.ru/support/compensation/compensation_leasing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b-ugra.ru/support/guaran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elskaya@sb-ugra.ru" TargetMode="External"/><Relationship Id="rId5" Type="http://schemas.openxmlformats.org/officeDocument/2006/relationships/hyperlink" Target="mailto:ugansk@sb-ugr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2</Pages>
  <Words>851</Words>
  <Characters>4856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ShaipovaES</cp:lastModifiedBy>
  <cp:revision>13</cp:revision>
  <dcterms:created xsi:type="dcterms:W3CDTF">2016-02-03T06:16:00Z</dcterms:created>
  <dcterms:modified xsi:type="dcterms:W3CDTF">2016-02-25T08:30:00Z</dcterms:modified>
</cp:coreProperties>
</file>