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C3" w:rsidRDefault="00C5287A" w:rsidP="00C5287A">
      <w:pP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>Уведомление</w:t>
      </w:r>
    </w:p>
    <w:p w:rsidR="00C5287A" w:rsidRPr="00033D7C" w:rsidRDefault="00C5287A" w:rsidP="00C5287A">
      <w:pP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 xml:space="preserve">о проведении публичных консультаций </w:t>
      </w:r>
    </w:p>
    <w:p w:rsidR="00C5287A" w:rsidRPr="00033D7C" w:rsidRDefault="00C5287A" w:rsidP="00C5287A">
      <w:pP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>в целях экспертизы нормативного правового акта</w:t>
      </w:r>
    </w:p>
    <w:p w:rsidR="00C5287A" w:rsidRPr="00033D7C" w:rsidRDefault="00C5287A" w:rsidP="00C5287A">
      <w:pPr>
        <w:jc w:val="center"/>
        <w:rPr>
          <w:sz w:val="28"/>
          <w:szCs w:val="28"/>
        </w:rPr>
      </w:pPr>
    </w:p>
    <w:p w:rsidR="00C5287A" w:rsidRPr="003D5E36" w:rsidRDefault="00C5287A" w:rsidP="003D5E3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033D7C">
        <w:rPr>
          <w:sz w:val="28"/>
          <w:szCs w:val="28"/>
        </w:rPr>
        <w:t xml:space="preserve">Настоящим </w:t>
      </w:r>
      <w:r w:rsidR="003D5E36">
        <w:rPr>
          <w:sz w:val="28"/>
          <w:szCs w:val="28"/>
        </w:rPr>
        <w:t>Департамент труда и занятости населения Хант</w:t>
      </w:r>
      <w:proofErr w:type="gramStart"/>
      <w:r w:rsidR="003D5E36">
        <w:rPr>
          <w:sz w:val="28"/>
          <w:szCs w:val="28"/>
        </w:rPr>
        <w:t>ы</w:t>
      </w:r>
      <w:r w:rsidR="00275EC3">
        <w:rPr>
          <w:sz w:val="28"/>
          <w:szCs w:val="28"/>
        </w:rPr>
        <w:t>-</w:t>
      </w:r>
      <w:proofErr w:type="gramEnd"/>
      <w:r w:rsidR="00275EC3">
        <w:rPr>
          <w:sz w:val="28"/>
          <w:szCs w:val="28"/>
        </w:rPr>
        <w:t xml:space="preserve"> </w:t>
      </w:r>
      <w:r w:rsidR="003D5E36">
        <w:rPr>
          <w:sz w:val="28"/>
          <w:szCs w:val="28"/>
        </w:rPr>
        <w:t xml:space="preserve">Мансийского автономного округа – Югры </w:t>
      </w:r>
      <w:r w:rsidRPr="00033D7C">
        <w:rPr>
          <w:sz w:val="28"/>
          <w:szCs w:val="28"/>
        </w:rPr>
        <w:t xml:space="preserve">извещает о начале обсуждения нормативного правового акта и сборе предложений заинтересованных лиц по </w:t>
      </w:r>
      <w:r w:rsidR="003D5E36">
        <w:rPr>
          <w:color w:val="000000"/>
          <w:sz w:val="28"/>
          <w:szCs w:val="28"/>
        </w:rPr>
        <w:t>постановлению</w:t>
      </w:r>
      <w:r w:rsidR="003D5E36">
        <w:rPr>
          <w:color w:val="000000"/>
          <w:sz w:val="28"/>
          <w:szCs w:val="28"/>
        </w:rPr>
        <w:t> </w:t>
      </w:r>
      <w:r w:rsidR="003D5E36">
        <w:rPr>
          <w:color w:val="000000"/>
          <w:sz w:val="28"/>
          <w:szCs w:val="28"/>
        </w:rPr>
        <w:t xml:space="preserve">Правительства </w:t>
      </w:r>
      <w:r w:rsidR="003D5E36" w:rsidRPr="0075535F">
        <w:rPr>
          <w:color w:val="000000"/>
          <w:sz w:val="28"/>
          <w:szCs w:val="28"/>
        </w:rPr>
        <w:t>Ханты-Мансийского автономного округа – Югры от 9 октября 2013 года № 409-п «О государственной программе Ханты-Мансийского автономного округа – Югры «Содействие занятости населения в Ханты-Мансийском автономном округе – Югре на 2016-2020 годы»</w:t>
      </w:r>
      <w:r w:rsidR="003D5E36">
        <w:rPr>
          <w:color w:val="000000"/>
          <w:sz w:val="28"/>
          <w:szCs w:val="28"/>
        </w:rPr>
        <w:t>.</w:t>
      </w:r>
    </w:p>
    <w:p w:rsidR="003D5E36" w:rsidRPr="00190956" w:rsidRDefault="003D5E36" w:rsidP="003D5E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956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</w:t>
      </w:r>
      <w:r w:rsidRPr="00110E6A">
        <w:rPr>
          <w:sz w:val="28"/>
          <w:szCs w:val="28"/>
        </w:rPr>
        <w:t>628012, г. Ханты-Мансийск, ул. Карла Маркса, д. 12</w:t>
      </w:r>
      <w:r>
        <w:rPr>
          <w:sz w:val="28"/>
          <w:szCs w:val="28"/>
        </w:rPr>
        <w:t xml:space="preserve">, </w:t>
      </w:r>
      <w:r w:rsidRPr="00190956">
        <w:rPr>
          <w:sz w:val="28"/>
          <w:szCs w:val="28"/>
        </w:rPr>
        <w:t xml:space="preserve">а также по адресу электронной почты: </w:t>
      </w:r>
      <w:proofErr w:type="spellStart"/>
      <w:r w:rsidRPr="00190956">
        <w:rPr>
          <w:sz w:val="28"/>
          <w:szCs w:val="28"/>
          <w:lang w:val="en-US"/>
        </w:rPr>
        <w:t>MironovaYA</w:t>
      </w:r>
      <w:proofErr w:type="spellEnd"/>
      <w:r w:rsidRPr="00190956">
        <w:rPr>
          <w:sz w:val="28"/>
          <w:szCs w:val="28"/>
        </w:rPr>
        <w:t>@</w:t>
      </w:r>
      <w:proofErr w:type="spellStart"/>
      <w:r w:rsidRPr="00190956">
        <w:rPr>
          <w:sz w:val="28"/>
          <w:szCs w:val="28"/>
          <w:lang w:val="en-US"/>
        </w:rPr>
        <w:t>dznhmao</w:t>
      </w:r>
      <w:proofErr w:type="spellEnd"/>
      <w:r w:rsidRPr="00190956">
        <w:rPr>
          <w:sz w:val="28"/>
          <w:szCs w:val="28"/>
        </w:rPr>
        <w:t>.</w:t>
      </w:r>
      <w:proofErr w:type="spellStart"/>
      <w:r w:rsidRPr="00190956">
        <w:rPr>
          <w:sz w:val="28"/>
          <w:szCs w:val="28"/>
          <w:lang w:val="en-US"/>
        </w:rPr>
        <w:t>ru</w:t>
      </w:r>
      <w:proofErr w:type="spellEnd"/>
      <w:r w:rsidRPr="00190956">
        <w:rPr>
          <w:sz w:val="28"/>
          <w:szCs w:val="28"/>
        </w:rPr>
        <w:t>.</w:t>
      </w:r>
    </w:p>
    <w:p w:rsidR="003D5E36" w:rsidRPr="00190956" w:rsidRDefault="003D5E36" w:rsidP="003D5E3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90956">
        <w:rPr>
          <w:sz w:val="28"/>
          <w:szCs w:val="28"/>
        </w:rPr>
        <w:t>Контактное лицо по вопросам проведения публичных консультаций:</w:t>
      </w:r>
    </w:p>
    <w:p w:rsidR="003D5E36" w:rsidRDefault="003D5E36" w:rsidP="003D5E3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10E6A">
        <w:rPr>
          <w:sz w:val="28"/>
          <w:szCs w:val="28"/>
        </w:rPr>
        <w:t xml:space="preserve">Миронова Юлия Александровна, заместитель начальника управления - начальник отдела разработки, мониторинга и реализации </w:t>
      </w:r>
      <w:proofErr w:type="gramStart"/>
      <w:r w:rsidRPr="00110E6A">
        <w:rPr>
          <w:sz w:val="28"/>
          <w:szCs w:val="28"/>
        </w:rPr>
        <w:t>программ содействия занятости населения Управления отраслевого</w:t>
      </w:r>
      <w:proofErr w:type="gramEnd"/>
      <w:r w:rsidRPr="00110E6A">
        <w:rPr>
          <w:sz w:val="28"/>
          <w:szCs w:val="28"/>
        </w:rPr>
        <w:t xml:space="preserve"> планирования, анализа и прогнозирования </w:t>
      </w:r>
      <w:proofErr w:type="spellStart"/>
      <w:r w:rsidRPr="00110E6A">
        <w:rPr>
          <w:sz w:val="28"/>
          <w:szCs w:val="28"/>
        </w:rPr>
        <w:t>Дептруда</w:t>
      </w:r>
      <w:proofErr w:type="spellEnd"/>
      <w:r w:rsidRPr="00110E6A">
        <w:rPr>
          <w:sz w:val="28"/>
          <w:szCs w:val="28"/>
        </w:rPr>
        <w:t xml:space="preserve"> и занятости Югры, 8(3467) 32-99-60</w:t>
      </w:r>
      <w:r>
        <w:rPr>
          <w:sz w:val="28"/>
          <w:szCs w:val="28"/>
        </w:rPr>
        <w:t>.</w:t>
      </w:r>
    </w:p>
    <w:p w:rsidR="003D5E36" w:rsidRDefault="003D5E36" w:rsidP="003D5E36">
      <w:pPr>
        <w:autoSpaceDE w:val="0"/>
        <w:autoSpaceDN w:val="0"/>
        <w:ind w:firstLine="708"/>
        <w:jc w:val="both"/>
        <w:rPr>
          <w:i/>
          <w:iCs/>
          <w:sz w:val="18"/>
          <w:szCs w:val="18"/>
        </w:rPr>
      </w:pPr>
      <w:r w:rsidRPr="00FF599F">
        <w:rPr>
          <w:sz w:val="28"/>
          <w:szCs w:val="28"/>
        </w:rPr>
        <w:t>Сроки приема предложений: с «</w:t>
      </w:r>
      <w:r w:rsidR="000B3F4C">
        <w:rPr>
          <w:sz w:val="28"/>
          <w:szCs w:val="28"/>
        </w:rPr>
        <w:t>21</w:t>
      </w:r>
      <w:r w:rsidRPr="00FF599F">
        <w:rPr>
          <w:sz w:val="28"/>
          <w:szCs w:val="28"/>
        </w:rPr>
        <w:t xml:space="preserve">» </w:t>
      </w:r>
      <w:r w:rsidR="000B3F4C">
        <w:rPr>
          <w:sz w:val="28"/>
          <w:szCs w:val="28"/>
        </w:rPr>
        <w:t xml:space="preserve">августа </w:t>
      </w:r>
      <w:r w:rsidRPr="00FF599F">
        <w:rPr>
          <w:sz w:val="28"/>
          <w:szCs w:val="28"/>
        </w:rPr>
        <w:t xml:space="preserve"> по «</w:t>
      </w:r>
      <w:r w:rsidR="000B3F4C">
        <w:rPr>
          <w:sz w:val="28"/>
          <w:szCs w:val="28"/>
        </w:rPr>
        <w:t>19</w:t>
      </w:r>
      <w:r w:rsidRPr="00FF599F">
        <w:rPr>
          <w:sz w:val="28"/>
          <w:szCs w:val="28"/>
        </w:rPr>
        <w:t xml:space="preserve">» </w:t>
      </w:r>
      <w:r w:rsidR="000B3F4C">
        <w:rPr>
          <w:sz w:val="28"/>
          <w:szCs w:val="28"/>
        </w:rPr>
        <w:t>сентября</w:t>
      </w:r>
      <w:r w:rsidRPr="00FF599F">
        <w:rPr>
          <w:sz w:val="28"/>
          <w:szCs w:val="28"/>
        </w:rPr>
        <w:t xml:space="preserve">  201</w:t>
      </w:r>
      <w:r w:rsidR="000B3F4C">
        <w:rPr>
          <w:sz w:val="28"/>
          <w:szCs w:val="28"/>
        </w:rPr>
        <w:t>7</w:t>
      </w:r>
      <w:r w:rsidRPr="00FF599F">
        <w:rPr>
          <w:sz w:val="28"/>
          <w:szCs w:val="28"/>
        </w:rPr>
        <w:t xml:space="preserve"> года.</w:t>
      </w:r>
      <w:bookmarkStart w:id="0" w:name="_GoBack"/>
      <w:bookmarkEnd w:id="0"/>
    </w:p>
    <w:p w:rsidR="003D5E36" w:rsidRPr="00FD5E88" w:rsidRDefault="003D5E36" w:rsidP="003D5E36">
      <w:pPr>
        <w:autoSpaceDE w:val="0"/>
        <w:autoSpaceDN w:val="0"/>
        <w:ind w:firstLine="708"/>
        <w:jc w:val="both"/>
        <w:rPr>
          <w:i/>
          <w:iCs/>
          <w:sz w:val="18"/>
          <w:szCs w:val="18"/>
        </w:rPr>
      </w:pPr>
      <w:r w:rsidRPr="00190956">
        <w:rPr>
          <w:sz w:val="28"/>
          <w:szCs w:val="28"/>
        </w:rPr>
        <w:t xml:space="preserve">Место размещения уведомления о проведении публичных консультаций по </w:t>
      </w:r>
      <w:r>
        <w:rPr>
          <w:sz w:val="28"/>
          <w:szCs w:val="28"/>
        </w:rPr>
        <w:t>нормативному правовому акту</w:t>
      </w:r>
      <w:r w:rsidRPr="00190956">
        <w:rPr>
          <w:sz w:val="28"/>
          <w:szCs w:val="28"/>
        </w:rPr>
        <w:t xml:space="preserve"> в информационно-телекоммуникационной сети «Интернет»: </w:t>
      </w:r>
      <w:r w:rsidRPr="00190956">
        <w:rPr>
          <w:i/>
          <w:sz w:val="28"/>
          <w:szCs w:val="28"/>
        </w:rPr>
        <w:t xml:space="preserve">единый официальный сайт государственных органов Ханты-Мансийского автономного </w:t>
      </w:r>
      <w:r w:rsidRPr="00190956">
        <w:rPr>
          <w:i/>
          <w:sz w:val="28"/>
          <w:szCs w:val="28"/>
        </w:rPr>
        <w:br/>
        <w:t>округа – Югры/Документы/«Оценка регулирующего воздействия и экспертиза НПА»/Публичные консультации (http://www.admhmao.ru/wps/portal/hmao/dokumenty/ocenka/pubconsult).</w:t>
      </w:r>
    </w:p>
    <w:p w:rsidR="003D5E36" w:rsidRPr="00FD5E88" w:rsidRDefault="003D5E36" w:rsidP="003D5E36">
      <w:pPr>
        <w:tabs>
          <w:tab w:val="right" w:pos="9923"/>
        </w:tabs>
        <w:autoSpaceDE w:val="0"/>
        <w:autoSpaceDN w:val="0"/>
        <w:ind w:firstLine="567"/>
        <w:jc w:val="both"/>
        <w:rPr>
          <w:sz w:val="16"/>
          <w:szCs w:val="16"/>
        </w:rPr>
      </w:pPr>
      <w:r w:rsidRPr="00033D7C">
        <w:rPr>
          <w:sz w:val="28"/>
          <w:szCs w:val="28"/>
        </w:rPr>
        <w:t>Все поступившие предложения будут рассмотрены. Не</w:t>
      </w:r>
      <w:r>
        <w:rPr>
          <w:sz w:val="28"/>
          <w:szCs w:val="28"/>
        </w:rPr>
        <w:t xml:space="preserve"> позднее  27 сентября 2017 года</w:t>
      </w:r>
      <w:r w:rsidRPr="00033D7C">
        <w:rPr>
          <w:sz w:val="28"/>
          <w:szCs w:val="28"/>
        </w:rPr>
        <w:t xml:space="preserve">     свод     предложений     будет     размещен</w:t>
      </w:r>
      <w:r>
        <w:rPr>
          <w:sz w:val="16"/>
          <w:szCs w:val="16"/>
        </w:rPr>
        <w:t xml:space="preserve"> </w:t>
      </w:r>
      <w:r w:rsidRPr="00FD5E88">
        <w:rPr>
          <w:sz w:val="28"/>
          <w:szCs w:val="28"/>
        </w:rPr>
        <w:t>в специализированном разделе «Оценка регулирующего воздействия и экспертиза НПА» Единого официального сайта государственных органов Ханты-Мансийского автономного округа – Югры, а участники публичных консультаций письменно проинформированы о результатах рассмотрения их мнений.</w:t>
      </w:r>
    </w:p>
    <w:p w:rsidR="00C5287A" w:rsidRPr="00033D7C" w:rsidRDefault="00C5287A" w:rsidP="00C5287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C5287A" w:rsidRDefault="00C5287A" w:rsidP="005C4200">
      <w:pPr>
        <w:autoSpaceDE w:val="0"/>
        <w:autoSpaceDN w:val="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1. Описание проблемы, на решение которой направлено правовое регулирование:</w:t>
      </w:r>
    </w:p>
    <w:p w:rsidR="002227ED" w:rsidRPr="00C368A5" w:rsidRDefault="002227ED" w:rsidP="002227ED">
      <w:pPr>
        <w:ind w:firstLine="709"/>
        <w:jc w:val="both"/>
        <w:rPr>
          <w:sz w:val="28"/>
          <w:szCs w:val="28"/>
        </w:rPr>
      </w:pPr>
      <w:r w:rsidRPr="00C368A5">
        <w:rPr>
          <w:sz w:val="28"/>
          <w:szCs w:val="28"/>
        </w:rPr>
        <w:t xml:space="preserve">В течение 2016 года на рынке труда наблюдалась неоднородная динамика в разные периоды, но в целом ситуацию удалось стабилизировать. </w:t>
      </w:r>
    </w:p>
    <w:p w:rsidR="002227ED" w:rsidRPr="00C368A5" w:rsidRDefault="002227ED" w:rsidP="002227ED">
      <w:pPr>
        <w:ind w:firstLine="709"/>
        <w:jc w:val="both"/>
        <w:rPr>
          <w:color w:val="000000"/>
          <w:sz w:val="28"/>
          <w:szCs w:val="28"/>
        </w:rPr>
      </w:pPr>
      <w:r w:rsidRPr="00C368A5">
        <w:rPr>
          <w:sz w:val="28"/>
          <w:szCs w:val="28"/>
        </w:rPr>
        <w:t>По состоянию на 1 января 2017 года п</w:t>
      </w:r>
      <w:r w:rsidRPr="00C368A5">
        <w:rPr>
          <w:color w:val="000000"/>
          <w:sz w:val="28"/>
          <w:szCs w:val="28"/>
        </w:rPr>
        <w:t>о сравнению с началом 2016 года:</w:t>
      </w:r>
      <w:r w:rsidRPr="00C368A5">
        <w:rPr>
          <w:sz w:val="28"/>
          <w:szCs w:val="28"/>
        </w:rPr>
        <w:t xml:space="preserve"> </w:t>
      </w:r>
    </w:p>
    <w:p w:rsidR="002227ED" w:rsidRPr="00C368A5" w:rsidRDefault="002227ED" w:rsidP="002227ED">
      <w:pPr>
        <w:ind w:firstLine="709"/>
        <w:jc w:val="both"/>
        <w:rPr>
          <w:color w:val="000000"/>
          <w:sz w:val="28"/>
          <w:szCs w:val="28"/>
        </w:rPr>
      </w:pPr>
      <w:r w:rsidRPr="00C368A5">
        <w:rPr>
          <w:color w:val="000000"/>
          <w:sz w:val="28"/>
          <w:szCs w:val="28"/>
        </w:rPr>
        <w:t xml:space="preserve">- число зарегистрированных безработных граждан увеличилось на 5,3% и составило  5 239 человек (на 1 января 2016 года – 4975 чел.);  </w:t>
      </w:r>
    </w:p>
    <w:p w:rsidR="002227ED" w:rsidRPr="00C368A5" w:rsidRDefault="002227ED" w:rsidP="002227ED">
      <w:pPr>
        <w:ind w:firstLine="709"/>
        <w:jc w:val="both"/>
        <w:rPr>
          <w:color w:val="000000"/>
          <w:sz w:val="28"/>
          <w:szCs w:val="28"/>
        </w:rPr>
      </w:pPr>
      <w:r w:rsidRPr="00C368A5">
        <w:rPr>
          <w:color w:val="000000"/>
          <w:sz w:val="28"/>
          <w:szCs w:val="28"/>
        </w:rPr>
        <w:lastRenderedPageBreak/>
        <w:t>-уровень регистрируемой безработицы составил 0,57% от экономически активного населения (на 1 января 2016 года– 0,54%). Югра неизменно входит в число субъектов РФ, имеющих наименьший уровень зарегистрированной безработицы (по итогам 2016 года – 4 место, которое Ханты-Мансийский автономный округ - Югра разделил с Липецкой областью, республикой Крым и Краснодарским краем), среди субъектов УФО – самый низкий (1 место по итогам 2016 года);</w:t>
      </w:r>
    </w:p>
    <w:p w:rsidR="002227ED" w:rsidRPr="00C368A5" w:rsidRDefault="002227ED" w:rsidP="002227ED">
      <w:pPr>
        <w:ind w:firstLine="709"/>
        <w:jc w:val="both"/>
        <w:rPr>
          <w:color w:val="000000"/>
          <w:sz w:val="28"/>
          <w:szCs w:val="28"/>
        </w:rPr>
      </w:pPr>
      <w:r w:rsidRPr="00C368A5">
        <w:rPr>
          <w:color w:val="000000"/>
          <w:sz w:val="28"/>
          <w:szCs w:val="28"/>
        </w:rPr>
        <w:t>- заявленная работодателями потребность в работниках выросла на 22,8% и составила 12,4 тыс. свободных рабочих мест (на 1 января 2016 года – 10,1 тыс. ед.);</w:t>
      </w:r>
    </w:p>
    <w:p w:rsidR="002227ED" w:rsidRDefault="002227ED" w:rsidP="00B67569">
      <w:pPr>
        <w:ind w:firstLine="709"/>
        <w:jc w:val="both"/>
        <w:rPr>
          <w:color w:val="000000"/>
          <w:sz w:val="28"/>
          <w:szCs w:val="28"/>
        </w:rPr>
      </w:pPr>
      <w:r w:rsidRPr="00C368A5">
        <w:rPr>
          <w:color w:val="000000"/>
          <w:sz w:val="28"/>
          <w:szCs w:val="28"/>
        </w:rPr>
        <w:t xml:space="preserve">- коэффициент напряженности на регистрируемом рынке труда снизился до 0,6 человек/на 1 вакансию  против 0,8 на 1 января 2016 года (на 01.01.2017 по РФ - 0,9 незанятых/на 1 </w:t>
      </w:r>
      <w:proofErr w:type="spellStart"/>
      <w:r w:rsidRPr="00C368A5">
        <w:rPr>
          <w:color w:val="000000"/>
          <w:sz w:val="28"/>
          <w:szCs w:val="28"/>
        </w:rPr>
        <w:t>своб</w:t>
      </w:r>
      <w:proofErr w:type="spellEnd"/>
      <w:r w:rsidRPr="00C368A5">
        <w:rPr>
          <w:color w:val="000000"/>
          <w:sz w:val="28"/>
          <w:szCs w:val="28"/>
        </w:rPr>
        <w:t>. раб</w:t>
      </w:r>
      <w:proofErr w:type="gramStart"/>
      <w:r w:rsidRPr="00C368A5">
        <w:rPr>
          <w:color w:val="000000"/>
          <w:sz w:val="28"/>
          <w:szCs w:val="28"/>
        </w:rPr>
        <w:t>.</w:t>
      </w:r>
      <w:proofErr w:type="gramEnd"/>
      <w:r w:rsidRPr="00C368A5">
        <w:rPr>
          <w:color w:val="000000"/>
          <w:sz w:val="28"/>
          <w:szCs w:val="28"/>
        </w:rPr>
        <w:t xml:space="preserve"> </w:t>
      </w:r>
      <w:proofErr w:type="gramStart"/>
      <w:r w:rsidRPr="00C368A5">
        <w:rPr>
          <w:color w:val="000000"/>
          <w:sz w:val="28"/>
          <w:szCs w:val="28"/>
        </w:rPr>
        <w:t>м</w:t>
      </w:r>
      <w:proofErr w:type="gramEnd"/>
      <w:r w:rsidRPr="00C368A5">
        <w:rPr>
          <w:color w:val="000000"/>
          <w:sz w:val="28"/>
          <w:szCs w:val="28"/>
        </w:rPr>
        <w:t xml:space="preserve">есто, по  </w:t>
      </w:r>
      <w:proofErr w:type="spellStart"/>
      <w:r w:rsidRPr="00C368A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 w:rsidRPr="00C368A5">
        <w:rPr>
          <w:color w:val="000000"/>
          <w:sz w:val="28"/>
          <w:szCs w:val="28"/>
        </w:rPr>
        <w:t>ФО</w:t>
      </w:r>
      <w:proofErr w:type="spellEnd"/>
      <w:r w:rsidRPr="00C368A5">
        <w:rPr>
          <w:color w:val="000000"/>
          <w:sz w:val="28"/>
          <w:szCs w:val="28"/>
        </w:rPr>
        <w:t xml:space="preserve"> - 1,1).</w:t>
      </w:r>
    </w:p>
    <w:p w:rsidR="002227ED" w:rsidRDefault="0013734C" w:rsidP="00B675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FB">
        <w:rPr>
          <w:rFonts w:eastAsiaTheme="minorHAnsi"/>
          <w:sz w:val="28"/>
          <w:szCs w:val="28"/>
          <w:lang w:eastAsia="en-US"/>
        </w:rPr>
        <w:t>Основным инструментом решения задач по сохранению стабильной ситуации на рынке труда и недопу</w:t>
      </w:r>
      <w:r w:rsidR="00B67569">
        <w:rPr>
          <w:rFonts w:eastAsiaTheme="minorHAnsi"/>
          <w:sz w:val="28"/>
          <w:szCs w:val="28"/>
          <w:lang w:eastAsia="en-US"/>
        </w:rPr>
        <w:t>щению роста безработицы явля</w:t>
      </w:r>
      <w:r>
        <w:rPr>
          <w:rFonts w:eastAsiaTheme="minorHAnsi"/>
          <w:sz w:val="28"/>
          <w:szCs w:val="28"/>
          <w:lang w:eastAsia="en-US"/>
        </w:rPr>
        <w:t>ются</w:t>
      </w:r>
      <w:r w:rsidRPr="00C512FB">
        <w:rPr>
          <w:rFonts w:eastAsiaTheme="minorHAnsi"/>
          <w:sz w:val="28"/>
          <w:szCs w:val="28"/>
          <w:lang w:eastAsia="en-US"/>
        </w:rPr>
        <w:t xml:space="preserve"> мероприятия государственной программы автономного округа «Содействие занятости населения </w:t>
      </w:r>
      <w:proofErr w:type="gramStart"/>
      <w:r w:rsidRPr="00C512FB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C512F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512FB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Pr="00C512FB">
        <w:rPr>
          <w:rFonts w:eastAsiaTheme="minorHAnsi"/>
          <w:sz w:val="28"/>
          <w:szCs w:val="28"/>
          <w:lang w:eastAsia="en-US"/>
        </w:rPr>
        <w:t xml:space="preserve"> автономном округе – Югре на 2016</w:t>
      </w:r>
      <w:r>
        <w:rPr>
          <w:rFonts w:eastAsiaTheme="minorHAnsi"/>
          <w:sz w:val="28"/>
          <w:szCs w:val="28"/>
          <w:lang w:eastAsia="en-US"/>
        </w:rPr>
        <w:t>-</w:t>
      </w:r>
      <w:r w:rsidR="00B67569">
        <w:rPr>
          <w:rFonts w:eastAsiaTheme="minorHAnsi"/>
          <w:sz w:val="28"/>
          <w:szCs w:val="28"/>
          <w:lang w:eastAsia="en-US"/>
        </w:rPr>
        <w:t xml:space="preserve">2020 годы» </w:t>
      </w:r>
      <w:r w:rsidR="002227ED" w:rsidRPr="0013210F">
        <w:rPr>
          <w:sz w:val="28"/>
          <w:szCs w:val="28"/>
        </w:rPr>
        <w:t>(далее – Государственная программа), утвержденной постановлением Правительства автономного округа от 9 октября 2013</w:t>
      </w:r>
      <w:r w:rsidR="002227ED">
        <w:rPr>
          <w:sz w:val="28"/>
          <w:szCs w:val="28"/>
        </w:rPr>
        <w:t xml:space="preserve"> года № 409-п.</w:t>
      </w:r>
      <w:r w:rsidR="002227ED" w:rsidRPr="0013210F">
        <w:rPr>
          <w:sz w:val="28"/>
          <w:szCs w:val="28"/>
        </w:rPr>
        <w:t xml:space="preserve"> </w:t>
      </w:r>
    </w:p>
    <w:p w:rsidR="004D0100" w:rsidRDefault="004D0100" w:rsidP="00B67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Государственной программы  способствуют сохранению стабильной ситуации на рынке труда автономного округа и позволяют автономному округу на протяжении последних лет входить в </w:t>
      </w:r>
      <w:r w:rsidRPr="00411271">
        <w:rPr>
          <w:sz w:val="28"/>
          <w:szCs w:val="28"/>
        </w:rPr>
        <w:t xml:space="preserve"> число субъектов </w:t>
      </w:r>
      <w:r>
        <w:rPr>
          <w:sz w:val="28"/>
          <w:szCs w:val="28"/>
        </w:rPr>
        <w:t xml:space="preserve">Российской Федерации </w:t>
      </w:r>
      <w:r w:rsidRPr="00411271">
        <w:rPr>
          <w:sz w:val="28"/>
          <w:szCs w:val="28"/>
        </w:rPr>
        <w:t>с низким уров</w:t>
      </w:r>
      <w:r>
        <w:rPr>
          <w:sz w:val="28"/>
          <w:szCs w:val="28"/>
        </w:rPr>
        <w:t>нем регистрируемой безработицы (</w:t>
      </w:r>
      <w:r w:rsidRPr="00411271">
        <w:rPr>
          <w:sz w:val="28"/>
          <w:szCs w:val="28"/>
        </w:rPr>
        <w:t>значение ниже среднероссийского</w:t>
      </w:r>
      <w:r>
        <w:rPr>
          <w:sz w:val="28"/>
          <w:szCs w:val="28"/>
        </w:rPr>
        <w:t>)</w:t>
      </w:r>
      <w:r w:rsidRPr="00411271">
        <w:rPr>
          <w:sz w:val="28"/>
          <w:szCs w:val="28"/>
        </w:rPr>
        <w:t>.</w:t>
      </w:r>
    </w:p>
    <w:p w:rsidR="004D0100" w:rsidRPr="000C4283" w:rsidRDefault="004D0100" w:rsidP="004D010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283">
        <w:rPr>
          <w:rFonts w:ascii="Times New Roman" w:hAnsi="Times New Roman"/>
          <w:sz w:val="28"/>
          <w:szCs w:val="28"/>
        </w:rPr>
        <w:t xml:space="preserve">Большинство мероприятий </w:t>
      </w:r>
      <w:r>
        <w:rPr>
          <w:rFonts w:ascii="Times New Roman" w:hAnsi="Times New Roman"/>
          <w:sz w:val="28"/>
          <w:szCs w:val="28"/>
        </w:rPr>
        <w:t>Государственной программы направлено</w:t>
      </w:r>
      <w:r w:rsidRPr="000C4283">
        <w:rPr>
          <w:rFonts w:ascii="Times New Roman" w:hAnsi="Times New Roman"/>
          <w:sz w:val="28"/>
          <w:szCs w:val="28"/>
        </w:rPr>
        <w:t xml:space="preserve"> на трудоустройство граждан, ищущих работу до признания их безработными, </w:t>
      </w:r>
      <w:r>
        <w:rPr>
          <w:rFonts w:ascii="Times New Roman" w:hAnsi="Times New Roman"/>
          <w:sz w:val="28"/>
          <w:szCs w:val="28"/>
        </w:rPr>
        <w:t xml:space="preserve"> что позволяет</w:t>
      </w:r>
      <w:r w:rsidRPr="000C4283">
        <w:rPr>
          <w:rFonts w:ascii="Times New Roman" w:hAnsi="Times New Roman"/>
          <w:sz w:val="28"/>
          <w:szCs w:val="28"/>
        </w:rPr>
        <w:t xml:space="preserve"> сдержать темп роста безработных. </w:t>
      </w:r>
    </w:p>
    <w:p w:rsidR="004D0100" w:rsidRPr="000C4283" w:rsidRDefault="004D0100" w:rsidP="004D0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конец</w:t>
      </w:r>
      <w:r w:rsidRPr="000C4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года </w:t>
      </w:r>
      <w:r w:rsidRPr="000C4283">
        <w:rPr>
          <w:sz w:val="28"/>
          <w:szCs w:val="28"/>
        </w:rPr>
        <w:t xml:space="preserve"> мероприятиями </w:t>
      </w:r>
      <w:r>
        <w:rPr>
          <w:sz w:val="28"/>
          <w:szCs w:val="28"/>
        </w:rPr>
        <w:t xml:space="preserve">Государственной программы  </w:t>
      </w:r>
      <w:r w:rsidRPr="000C4283">
        <w:rPr>
          <w:sz w:val="28"/>
          <w:szCs w:val="28"/>
        </w:rPr>
        <w:t>было охвачено 65884 человека</w:t>
      </w:r>
      <w:r>
        <w:rPr>
          <w:sz w:val="28"/>
          <w:szCs w:val="28"/>
        </w:rPr>
        <w:t xml:space="preserve"> (план на начало года составлял – 57 837 человек)</w:t>
      </w:r>
      <w:r w:rsidRPr="000C4283">
        <w:rPr>
          <w:sz w:val="28"/>
          <w:szCs w:val="28"/>
        </w:rPr>
        <w:t>, что на 13,5%, или на 7661 человека бол</w:t>
      </w:r>
      <w:r>
        <w:rPr>
          <w:sz w:val="28"/>
          <w:szCs w:val="28"/>
        </w:rPr>
        <w:t>ьше 2015 года (58223 человека), тем самым р</w:t>
      </w:r>
      <w:r w:rsidRPr="000C4283">
        <w:rPr>
          <w:sz w:val="28"/>
          <w:szCs w:val="28"/>
        </w:rPr>
        <w:t xml:space="preserve">еализация мероприятий </w:t>
      </w:r>
      <w:r>
        <w:rPr>
          <w:sz w:val="28"/>
          <w:szCs w:val="28"/>
        </w:rPr>
        <w:t>Государственной п</w:t>
      </w:r>
      <w:r w:rsidRPr="000C4283">
        <w:rPr>
          <w:sz w:val="28"/>
          <w:szCs w:val="28"/>
        </w:rPr>
        <w:t xml:space="preserve">рограммы позволила </w:t>
      </w:r>
      <w:r>
        <w:rPr>
          <w:sz w:val="28"/>
          <w:szCs w:val="28"/>
        </w:rPr>
        <w:t>не превысить значение уровня</w:t>
      </w:r>
      <w:r w:rsidRPr="000C4283">
        <w:rPr>
          <w:sz w:val="28"/>
          <w:szCs w:val="28"/>
        </w:rPr>
        <w:t xml:space="preserve"> регистрируемой безработицы от численности экономически активного населения </w:t>
      </w:r>
      <w:r>
        <w:rPr>
          <w:sz w:val="28"/>
          <w:szCs w:val="28"/>
        </w:rPr>
        <w:t>выше установленного планового значения –</w:t>
      </w:r>
      <w:r w:rsidRPr="000C4283">
        <w:rPr>
          <w:sz w:val="28"/>
          <w:szCs w:val="28"/>
        </w:rPr>
        <w:t xml:space="preserve"> 0,57% на конец 2016 года (</w:t>
      </w:r>
      <w:r>
        <w:rPr>
          <w:sz w:val="28"/>
          <w:szCs w:val="28"/>
        </w:rPr>
        <w:t>фактическое значение</w:t>
      </w:r>
      <w:proofErr w:type="gramEnd"/>
      <w:r w:rsidRPr="000C4283">
        <w:rPr>
          <w:sz w:val="28"/>
          <w:szCs w:val="28"/>
        </w:rPr>
        <w:t xml:space="preserve"> – 0,57%).</w:t>
      </w:r>
    </w:p>
    <w:p w:rsidR="004D0100" w:rsidRDefault="005C4200" w:rsidP="004D01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00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5C4200">
        <w:rPr>
          <w:rFonts w:ascii="Times New Roman" w:hAnsi="Times New Roman" w:cs="Times New Roman"/>
          <w:sz w:val="28"/>
          <w:szCs w:val="28"/>
        </w:rPr>
        <w:t>целях повышения качества и конкурентоспособности рабочей силы, а также открытия широкого доступа к возможностям обучения</w:t>
      </w:r>
      <w:r w:rsidR="00326C2D">
        <w:rPr>
          <w:rFonts w:ascii="Times New Roman" w:hAnsi="Times New Roman" w:cs="Times New Roman"/>
          <w:sz w:val="28"/>
          <w:szCs w:val="28"/>
        </w:rPr>
        <w:t>,</w:t>
      </w:r>
      <w:r w:rsidRPr="005C4200">
        <w:rPr>
          <w:rFonts w:ascii="Times New Roman" w:hAnsi="Times New Roman" w:cs="Times New Roman"/>
          <w:sz w:val="28"/>
          <w:szCs w:val="28"/>
        </w:rPr>
        <w:t xml:space="preserve"> востребованным на рынке труда</w:t>
      </w:r>
      <w:r w:rsidR="00326C2D">
        <w:rPr>
          <w:rFonts w:ascii="Times New Roman" w:hAnsi="Times New Roman" w:cs="Times New Roman"/>
          <w:sz w:val="28"/>
          <w:szCs w:val="28"/>
        </w:rPr>
        <w:t>,</w:t>
      </w:r>
      <w:r w:rsidRPr="005C4200">
        <w:rPr>
          <w:rFonts w:ascii="Times New Roman" w:hAnsi="Times New Roman" w:cs="Times New Roman"/>
          <w:sz w:val="28"/>
          <w:szCs w:val="28"/>
        </w:rPr>
        <w:t xml:space="preserve"> специальностям, Государственной программой предусмотрены мероприятия по профессиональному</w:t>
      </w:r>
      <w:r w:rsidRPr="00847F60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7F60">
        <w:rPr>
          <w:rFonts w:ascii="Times New Roman" w:hAnsi="Times New Roman" w:cs="Times New Roman"/>
          <w:sz w:val="28"/>
          <w:szCs w:val="28"/>
        </w:rPr>
        <w:t xml:space="preserve"> и дополнительно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47F60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47F6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847F60">
        <w:rPr>
          <w:rFonts w:ascii="Times New Roman" w:hAnsi="Times New Roman" w:cs="Times New Roman"/>
          <w:sz w:val="28"/>
          <w:szCs w:val="28"/>
        </w:rPr>
        <w:t xml:space="preserve"> включая обучение в другой местности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0100">
        <w:rPr>
          <w:rFonts w:ascii="Times New Roman" w:hAnsi="Times New Roman" w:cs="Times New Roman"/>
          <w:sz w:val="28"/>
          <w:szCs w:val="28"/>
        </w:rPr>
        <w:t>отдельных категорий граждан.</w:t>
      </w:r>
    </w:p>
    <w:p w:rsidR="005C4200" w:rsidRDefault="005C4200" w:rsidP="004D01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CDC">
        <w:rPr>
          <w:rFonts w:ascii="Times New Roman" w:hAnsi="Times New Roman" w:cs="Times New Roman"/>
          <w:sz w:val="28"/>
          <w:szCs w:val="28"/>
        </w:rPr>
        <w:t xml:space="preserve">В целях содействия занятости особо нуждающимся в социальной защите и трудоустройстве категориям граждан в Государственную </w:t>
      </w:r>
      <w:r w:rsidR="00326C2D">
        <w:rPr>
          <w:rFonts w:ascii="Times New Roman" w:hAnsi="Times New Roman" w:cs="Times New Roman"/>
          <w:sz w:val="28"/>
          <w:szCs w:val="28"/>
        </w:rPr>
        <w:t xml:space="preserve"> </w:t>
      </w:r>
      <w:r w:rsidR="00326C2D">
        <w:rPr>
          <w:rFonts w:ascii="Times New Roman" w:hAnsi="Times New Roman" w:cs="Times New Roman"/>
          <w:sz w:val="28"/>
          <w:szCs w:val="28"/>
        </w:rPr>
        <w:lastRenderedPageBreak/>
        <w:t>программу включены мероприятия по организации временного и постоянного трудоустройства.</w:t>
      </w:r>
    </w:p>
    <w:p w:rsidR="005C4200" w:rsidRDefault="005C4200" w:rsidP="004D0100">
      <w:pPr>
        <w:ind w:firstLine="708"/>
        <w:jc w:val="both"/>
        <w:rPr>
          <w:sz w:val="28"/>
          <w:szCs w:val="28"/>
        </w:rPr>
      </w:pPr>
      <w:r w:rsidRPr="003B0C50">
        <w:rPr>
          <w:bCs/>
          <w:sz w:val="28"/>
          <w:szCs w:val="28"/>
        </w:rPr>
        <w:t xml:space="preserve">Для  решения    проблемы  трудоустройства </w:t>
      </w:r>
      <w:r>
        <w:rPr>
          <w:bCs/>
          <w:sz w:val="28"/>
          <w:szCs w:val="28"/>
        </w:rPr>
        <w:t xml:space="preserve">квалифицированных специалистов из числа </w:t>
      </w:r>
      <w:r w:rsidRPr="003B0C50">
        <w:rPr>
          <w:bCs/>
          <w:sz w:val="28"/>
          <w:szCs w:val="28"/>
        </w:rPr>
        <w:t>выпускников</w:t>
      </w:r>
      <w:r>
        <w:rPr>
          <w:bCs/>
          <w:sz w:val="28"/>
          <w:szCs w:val="28"/>
        </w:rPr>
        <w:t xml:space="preserve">  Государственной программой предусмотрены </w:t>
      </w:r>
      <w:r>
        <w:rPr>
          <w:sz w:val="28"/>
          <w:szCs w:val="28"/>
        </w:rPr>
        <w:t>мероприятия по стажировке</w:t>
      </w:r>
      <w:r w:rsidRPr="003E4EE9">
        <w:rPr>
          <w:sz w:val="28"/>
          <w:szCs w:val="28"/>
        </w:rPr>
        <w:t xml:space="preserve"> выпускников профессиональных образовательных организаций</w:t>
      </w:r>
      <w:r>
        <w:rPr>
          <w:sz w:val="28"/>
          <w:szCs w:val="28"/>
        </w:rPr>
        <w:t xml:space="preserve"> (далее – СПО)</w:t>
      </w:r>
      <w:r w:rsidRPr="003E4EE9">
        <w:rPr>
          <w:sz w:val="28"/>
          <w:szCs w:val="28"/>
        </w:rPr>
        <w:t xml:space="preserve"> и образовательных организаций высшего</w:t>
      </w:r>
      <w:r>
        <w:rPr>
          <w:sz w:val="28"/>
          <w:szCs w:val="28"/>
        </w:rPr>
        <w:t xml:space="preserve"> профессионального</w:t>
      </w:r>
      <w:r w:rsidRPr="003E4EE9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 (далее – ВПО) в возрасте до 25 лет, временному  трудоустройству безработных граждан в возрасте от 18 до 20 лет, имеющих среднее профессиональное образование и ищущих работу впервые.</w:t>
      </w:r>
    </w:p>
    <w:p w:rsidR="005C4200" w:rsidRPr="00D76226" w:rsidRDefault="005C4200" w:rsidP="00326C2D">
      <w:pPr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содействия развитию малого предпринимательства  Государственной программой </w:t>
      </w:r>
      <w:r>
        <w:rPr>
          <w:rFonts w:eastAsia="Calibri"/>
          <w:color w:val="000000"/>
          <w:sz w:val="28"/>
          <w:szCs w:val="28"/>
        </w:rPr>
        <w:t xml:space="preserve">безработным жителям Югры предоставлена возможность получения </w:t>
      </w:r>
      <w:r w:rsidRPr="00955EA5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государственной услуги по содействию </w:t>
      </w:r>
      <w:proofErr w:type="spellStart"/>
      <w:r>
        <w:rPr>
          <w:rFonts w:eastAsia="Calibri"/>
          <w:color w:val="000000"/>
          <w:sz w:val="28"/>
          <w:szCs w:val="28"/>
        </w:rPr>
        <w:t>самозанятости</w:t>
      </w:r>
      <w:proofErr w:type="spellEnd"/>
      <w:r>
        <w:rPr>
          <w:rFonts w:eastAsia="Calibri"/>
          <w:color w:val="000000"/>
          <w:sz w:val="28"/>
          <w:szCs w:val="28"/>
        </w:rPr>
        <w:t xml:space="preserve"> безработных граждан, предусматривающей </w:t>
      </w:r>
      <w:r>
        <w:rPr>
          <w:rFonts w:eastAsia="Calibri"/>
          <w:sz w:val="28"/>
          <w:szCs w:val="28"/>
        </w:rPr>
        <w:t>предоставление безработно</w:t>
      </w:r>
      <w:r w:rsidRPr="00955EA5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у гражданину</w:t>
      </w:r>
      <w:r w:rsidRPr="00955EA5">
        <w:rPr>
          <w:rFonts w:eastAsia="Calibri"/>
          <w:sz w:val="28"/>
          <w:szCs w:val="28"/>
        </w:rPr>
        <w:t xml:space="preserve"> субсидии на открытие собственного дела</w:t>
      </w:r>
      <w:r>
        <w:rPr>
          <w:rFonts w:eastAsia="Calibri"/>
          <w:sz w:val="28"/>
          <w:szCs w:val="28"/>
        </w:rPr>
        <w:t xml:space="preserve"> в размере 88,2 тыс. рублей, </w:t>
      </w:r>
      <w:r w:rsidRPr="00955EA5">
        <w:rPr>
          <w:rFonts w:eastAsia="Calibri"/>
          <w:sz w:val="28"/>
          <w:szCs w:val="28"/>
        </w:rPr>
        <w:t>единовременной финансовой помощи на подготовку документов, предоставляемых при государственной регистрации юридического лица и индивидуального предпринимателя, оплату госпошлины, нотариальных действий и услуг правового и технического характера</w:t>
      </w:r>
      <w:proofErr w:type="gramEnd"/>
      <w:r w:rsidRPr="00955EA5">
        <w:rPr>
          <w:rFonts w:eastAsia="Calibri"/>
          <w:sz w:val="28"/>
          <w:szCs w:val="28"/>
        </w:rPr>
        <w:t>, приобретение бланочной документации,</w:t>
      </w:r>
      <w:r>
        <w:rPr>
          <w:rFonts w:eastAsia="Calibri"/>
          <w:sz w:val="28"/>
          <w:szCs w:val="28"/>
        </w:rPr>
        <w:t xml:space="preserve"> изготовление печатей, штампов, в размере  1 128,2 рублей.</w:t>
      </w:r>
      <w:r w:rsidRPr="00520230">
        <w:rPr>
          <w:rFonts w:eastAsia="Calibri"/>
          <w:sz w:val="28"/>
          <w:szCs w:val="28"/>
        </w:rPr>
        <w:t xml:space="preserve"> </w:t>
      </w:r>
    </w:p>
    <w:p w:rsidR="005C4200" w:rsidRPr="00404ADF" w:rsidRDefault="005C4200" w:rsidP="00326C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ADF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если у безработного гражданина, открывшего собственное дело, есть потребность в дополнительных работниках, он может взять их из числа зарегистрированных в центре занятости населения безработных и также получить дополнительные выплаты в размере 88 200 рублей за каждое созданное рабочее место. </w:t>
      </w:r>
      <w:r w:rsidRPr="00404ADF">
        <w:rPr>
          <w:rFonts w:ascii="Times New Roman" w:hAnsi="Times New Roman" w:cs="Times New Roman"/>
          <w:sz w:val="28"/>
          <w:szCs w:val="28"/>
        </w:rPr>
        <w:t xml:space="preserve">Количество дополнительных рабочих мест, за которые гражданин может получить субсидию не может превышать пяти единиц. </w:t>
      </w:r>
    </w:p>
    <w:p w:rsidR="005C4200" w:rsidRPr="005F0EB5" w:rsidRDefault="005C4200" w:rsidP="00326C2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территории Ханты-Мансийского автономного округа – Югры на протяжении нескольких лет с</w:t>
      </w:r>
      <w:r w:rsidRPr="005F0EB5">
        <w:rPr>
          <w:sz w:val="28"/>
          <w:szCs w:val="28"/>
        </w:rPr>
        <w:t>охраняется дисбаланс спроса и предложения рабочей силы, который выражается в территориальном и профессионально-квалификационном несоответствии. Дисбаланс спроса и предложения рабочей силы приводит к тому, что ряд вакансий остается незаполненным, а безработные граждане продолжают состоять в органах службы занятости населения.</w:t>
      </w:r>
    </w:p>
    <w:p w:rsidR="005C4200" w:rsidRDefault="005C4200" w:rsidP="00326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EB5">
        <w:rPr>
          <w:rFonts w:ascii="Times New Roman" w:hAnsi="Times New Roman" w:cs="Times New Roman"/>
          <w:sz w:val="28"/>
          <w:szCs w:val="28"/>
        </w:rPr>
        <w:t xml:space="preserve">Восполнение дефицита кадров отдельных профессий и квалификаций при повышенном спросе на них со стороны работодателей возможно путем привлечения квалифицированных специалистов, востребованных на рынке труда, извне за счет </w:t>
      </w:r>
      <w:proofErr w:type="spellStart"/>
      <w:r w:rsidRPr="005F0EB5">
        <w:rPr>
          <w:rFonts w:ascii="Times New Roman" w:hAnsi="Times New Roman" w:cs="Times New Roman"/>
          <w:sz w:val="28"/>
          <w:szCs w:val="28"/>
        </w:rPr>
        <w:t>внутрирегиональной</w:t>
      </w:r>
      <w:proofErr w:type="spellEnd"/>
      <w:r w:rsidRPr="005F0EB5">
        <w:rPr>
          <w:rFonts w:ascii="Times New Roman" w:hAnsi="Times New Roman" w:cs="Times New Roman"/>
          <w:sz w:val="28"/>
          <w:szCs w:val="28"/>
        </w:rPr>
        <w:t xml:space="preserve"> и межрегиональной миграции.</w:t>
      </w:r>
    </w:p>
    <w:p w:rsidR="005C4200" w:rsidRDefault="005C4200" w:rsidP="00326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B3">
        <w:rPr>
          <w:rFonts w:ascii="Times New Roman" w:hAnsi="Times New Roman" w:cs="Times New Roman"/>
          <w:sz w:val="28"/>
          <w:szCs w:val="28"/>
        </w:rPr>
        <w:t xml:space="preserve">Стимулированию трудовой миграции, выравниванию спроса и предложения рабочей силы в автономном округе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F110B3">
        <w:rPr>
          <w:rFonts w:ascii="Times New Roman" w:hAnsi="Times New Roman" w:cs="Times New Roman"/>
          <w:sz w:val="28"/>
          <w:szCs w:val="28"/>
        </w:rPr>
        <w:t xml:space="preserve"> реализация подпрограммы «Повышение мобильности трудовых ресурсов в автономном округе»</w:t>
      </w:r>
      <w:r>
        <w:rPr>
          <w:rFonts w:ascii="Times New Roman" w:hAnsi="Times New Roman" w:cs="Times New Roman"/>
          <w:sz w:val="28"/>
          <w:szCs w:val="28"/>
        </w:rPr>
        <w:t>, включенной в Государственную программу</w:t>
      </w:r>
      <w:r w:rsidRPr="00F110B3">
        <w:rPr>
          <w:rFonts w:ascii="Times New Roman" w:hAnsi="Times New Roman" w:cs="Times New Roman"/>
          <w:sz w:val="28"/>
          <w:szCs w:val="28"/>
        </w:rPr>
        <w:t xml:space="preserve">, целью которой является </w:t>
      </w:r>
      <w:r w:rsidRPr="00F110B3">
        <w:rPr>
          <w:rFonts w:ascii="Times New Roman" w:hAnsi="Times New Roman" w:cs="Times New Roman"/>
          <w:sz w:val="28"/>
          <w:szCs w:val="28"/>
        </w:rPr>
        <w:lastRenderedPageBreak/>
        <w:t>повышение профессиональной конкурентоспособности и трудовой мобильности населения на рынке труда автономного округа.</w:t>
      </w:r>
    </w:p>
    <w:p w:rsidR="004D0100" w:rsidRDefault="004D0100" w:rsidP="004D01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Программно-целевой метод эффективен и в осуществлении государственной политики в области охраны труда, увеличения продолжительности жизни и улучшения здоровья работающего населения, проживающего в автономном округе.</w:t>
      </w:r>
    </w:p>
    <w:p w:rsidR="004D0100" w:rsidRDefault="004D0100" w:rsidP="004D01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4D0100">
        <w:rPr>
          <w:rFonts w:eastAsia="Calibri"/>
          <w:color w:val="000000" w:themeColor="text1"/>
          <w:sz w:val="28"/>
          <w:szCs w:val="28"/>
        </w:rPr>
        <w:t xml:space="preserve">Реализация мероприятий </w:t>
      </w:r>
      <w:hyperlink r:id="rId9" w:history="1">
        <w:r w:rsidRPr="004D0100">
          <w:rPr>
            <w:rFonts w:eastAsia="Calibri"/>
            <w:color w:val="000000" w:themeColor="text1"/>
            <w:sz w:val="28"/>
            <w:szCs w:val="28"/>
          </w:rPr>
          <w:t>подпрограммы II</w:t>
        </w:r>
      </w:hyperlink>
      <w:r w:rsidRPr="004D0100">
        <w:rPr>
          <w:rFonts w:eastAsia="Calibri"/>
          <w:color w:val="000000" w:themeColor="text1"/>
          <w:sz w:val="28"/>
          <w:szCs w:val="28"/>
        </w:rPr>
        <w:t xml:space="preserve"> «Улучшение </w:t>
      </w:r>
      <w:r>
        <w:rPr>
          <w:rFonts w:eastAsia="Calibri"/>
          <w:sz w:val="28"/>
          <w:szCs w:val="28"/>
        </w:rPr>
        <w:t>условий и охраны труда в автономном округе»  направлена на достижение основных показателей обеспечения качества жизни населения автономного округа, а именно: на сохранение народонаселения и здоровья самой активной, репродуктивной части общества и, как следствие, увеличение показателей продолжительности жизни, увеличение валового регионального продукта на душу населения, снижение доли государственных расходов на социальную деятельность, снижение количества инвалидов.</w:t>
      </w:r>
      <w:proofErr w:type="gramEnd"/>
    </w:p>
    <w:p w:rsidR="004D0100" w:rsidRPr="00F110B3" w:rsidRDefault="004D0100" w:rsidP="00326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2. Цели правового регулирования:</w:t>
      </w:r>
    </w:p>
    <w:p w:rsidR="00B51BB3" w:rsidRDefault="00B51BB3" w:rsidP="00B51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Государственной программы являются:</w:t>
      </w:r>
    </w:p>
    <w:p w:rsidR="00B51BB3" w:rsidRDefault="00B51BB3" w:rsidP="00B51B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Обеспечение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Ханты-Мансийском</w:t>
      </w:r>
      <w:proofErr w:type="gramEnd"/>
      <w:r>
        <w:rPr>
          <w:rFonts w:eastAsia="Calibri"/>
          <w:sz w:val="28"/>
          <w:szCs w:val="28"/>
        </w:rPr>
        <w:t xml:space="preserve"> автономном округе – Югре  государственных гарантий гражданам в области содействия занятости населения и защиты от безработицы.</w:t>
      </w:r>
    </w:p>
    <w:p w:rsidR="00B51BB3" w:rsidRDefault="00B51BB3" w:rsidP="00B51B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Улучшение условий и охраны труда у работодателей и, как следствие, снижение уровня производственного травматизма и профессиональной заболеваемости.</w:t>
      </w:r>
    </w:p>
    <w:p w:rsidR="00B51BB3" w:rsidRDefault="00B51BB3" w:rsidP="00B51B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Повышение профессиональной конкурентоспособности и трудовой мобильности населения на рынке труда автономного округа.</w:t>
      </w:r>
    </w:p>
    <w:p w:rsidR="00B51BB3" w:rsidRDefault="00B51BB3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</w:p>
    <w:p w:rsidR="00C5287A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3. Действующие нормативные правовые акты, поручения, другие решения, из которых вытекает необходимость правового регулирования:</w:t>
      </w:r>
    </w:p>
    <w:p w:rsidR="00B51BB3" w:rsidRDefault="00B51BB3" w:rsidP="000B3F4C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Бюджетный кодекс Российской Федерации;</w:t>
      </w:r>
    </w:p>
    <w:p w:rsidR="00B67569" w:rsidRDefault="00B67569" w:rsidP="000B3F4C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7.1.1. Закона Российской Федерации «О занятости населения в Российской Федерации» от 19.04.1991 года № 1032-1;</w:t>
      </w:r>
    </w:p>
    <w:p w:rsidR="00703D2B" w:rsidRDefault="00703D2B" w:rsidP="00BA5BC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программа Российской  Федерации «Содействие занятости </w:t>
      </w:r>
      <w:r w:rsidR="00BA5BC2">
        <w:rPr>
          <w:sz w:val="28"/>
          <w:szCs w:val="28"/>
        </w:rPr>
        <w:t xml:space="preserve"> населения», утвержденная постановлением Правительства Российской Федерации  от 15.04.2014 года №298;</w:t>
      </w:r>
    </w:p>
    <w:p w:rsidR="00B51BB3" w:rsidRDefault="00B51BB3" w:rsidP="000B3F4C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 w:rsidRPr="0075535F">
        <w:rPr>
          <w:color w:val="000000"/>
          <w:sz w:val="28"/>
          <w:szCs w:val="28"/>
        </w:rPr>
        <w:t xml:space="preserve"> Правительства Ханты-Мансийского автономного округа – Югры от 12 июля 2013 года № 247-п «О государственных и ведомственных целевых программах Ханты-Мансийского автономного округа – Югры»</w:t>
      </w:r>
      <w:r>
        <w:rPr>
          <w:color w:val="000000"/>
          <w:sz w:val="28"/>
          <w:szCs w:val="28"/>
        </w:rPr>
        <w:t>.</w:t>
      </w:r>
    </w:p>
    <w:p w:rsidR="006D4454" w:rsidRDefault="006D4454" w:rsidP="00C5287A">
      <w:pPr>
        <w:autoSpaceDE w:val="0"/>
        <w:autoSpaceDN w:val="0"/>
        <w:spacing w:after="120"/>
        <w:rPr>
          <w:sz w:val="28"/>
          <w:szCs w:val="28"/>
        </w:rPr>
      </w:pPr>
    </w:p>
    <w:p w:rsidR="00C5287A" w:rsidRPr="00033D7C" w:rsidRDefault="00C5287A" w:rsidP="00C5287A">
      <w:pPr>
        <w:autoSpaceDE w:val="0"/>
        <w:autoSpaceDN w:val="0"/>
        <w:spacing w:after="120"/>
        <w:rPr>
          <w:sz w:val="28"/>
          <w:szCs w:val="28"/>
        </w:rPr>
      </w:pPr>
      <w:r w:rsidRPr="00033D7C">
        <w:rPr>
          <w:sz w:val="28"/>
          <w:szCs w:val="28"/>
        </w:rPr>
        <w:t>4. Сроки действия правового регулирования:</w:t>
      </w:r>
    </w:p>
    <w:p w:rsidR="00C5287A" w:rsidRDefault="006D0659" w:rsidP="00991DF5">
      <w:pPr>
        <w:autoSpaceDE w:val="0"/>
        <w:autoSpaceDN w:val="0"/>
        <w:ind w:firstLine="708"/>
        <w:rPr>
          <w:sz w:val="28"/>
          <w:szCs w:val="28"/>
        </w:rPr>
      </w:pPr>
      <w:r w:rsidRPr="006D0659">
        <w:rPr>
          <w:sz w:val="28"/>
          <w:szCs w:val="28"/>
        </w:rPr>
        <w:t>Срок</w:t>
      </w:r>
      <w:r w:rsidR="000B3F4C">
        <w:rPr>
          <w:sz w:val="28"/>
          <w:szCs w:val="28"/>
        </w:rPr>
        <w:t xml:space="preserve">и </w:t>
      </w:r>
      <w:r w:rsidRPr="006D0659">
        <w:rPr>
          <w:sz w:val="28"/>
          <w:szCs w:val="28"/>
        </w:rPr>
        <w:t xml:space="preserve"> реализации Государственной программы</w:t>
      </w:r>
      <w:r w:rsidR="000B3F4C">
        <w:rPr>
          <w:sz w:val="28"/>
          <w:szCs w:val="28"/>
        </w:rPr>
        <w:t>:</w:t>
      </w:r>
      <w:r w:rsidRPr="006D0659">
        <w:rPr>
          <w:sz w:val="28"/>
          <w:szCs w:val="28"/>
        </w:rPr>
        <w:t xml:space="preserve">  2016-2020 годы.</w:t>
      </w:r>
    </w:p>
    <w:p w:rsidR="006D0659" w:rsidRPr="006D0659" w:rsidRDefault="006D0659" w:rsidP="00C5287A">
      <w:pPr>
        <w:autoSpaceDE w:val="0"/>
        <w:autoSpaceDN w:val="0"/>
        <w:rPr>
          <w:sz w:val="28"/>
          <w:szCs w:val="28"/>
        </w:rPr>
      </w:pP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lastRenderedPageBreak/>
        <w:t>5. Негативные эффекты, возникающие в связи с отсутствием государственного регулирования в соответствующей сфере деятельности:</w:t>
      </w:r>
    </w:p>
    <w:p w:rsidR="002B0DB7" w:rsidRPr="00991DF5" w:rsidRDefault="002B0DB7" w:rsidP="002B0D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правового регулирования в области содействия занятости населения на территории автономного  округа привело бы к </w:t>
      </w:r>
      <w:r w:rsidR="00991DF5" w:rsidRPr="00991DF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</w:t>
      </w:r>
      <w:r w:rsidRPr="00991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неблагоприятных условий для занятости населения, снижению повышения качества и конкурентоспособности граждан на рынке труда, </w:t>
      </w:r>
      <w:r w:rsidR="00991DF5" w:rsidRPr="00991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снижению уровня занятости населения, особенно </w:t>
      </w:r>
      <w:r w:rsidRPr="00991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граждан, испытывающих трудности в поиске работы.  </w:t>
      </w:r>
    </w:p>
    <w:p w:rsidR="00C5287A" w:rsidRPr="00991DF5" w:rsidRDefault="00C5287A" w:rsidP="00C5287A">
      <w:pPr>
        <w:autoSpaceDE w:val="0"/>
        <w:autoSpaceDN w:val="0"/>
        <w:rPr>
          <w:color w:val="000000" w:themeColor="text1"/>
        </w:rPr>
      </w:pP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6. Группа участников отношений правового регулирования и их количественная оценка:</w:t>
      </w:r>
    </w:p>
    <w:p w:rsidR="002B0DB7" w:rsidRPr="00FE21C2" w:rsidRDefault="002B0DB7" w:rsidP="002B0DB7">
      <w:pPr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FE21C2">
        <w:rPr>
          <w:color w:val="000000" w:themeColor="text1"/>
          <w:sz w:val="28"/>
          <w:szCs w:val="28"/>
        </w:rPr>
        <w:t xml:space="preserve">- работодатели - физические и юридические лица, не зависимо от их организационно-правовых форм и форм собственности (по данным </w:t>
      </w:r>
      <w:r w:rsidR="00FE21C2">
        <w:rPr>
          <w:sz w:val="28"/>
          <w:szCs w:val="28"/>
        </w:rPr>
        <w:t xml:space="preserve">ФНС </w:t>
      </w:r>
      <w:r w:rsidR="00FE21C2" w:rsidRPr="00275EC3">
        <w:rPr>
          <w:sz w:val="28"/>
          <w:szCs w:val="28"/>
        </w:rPr>
        <w:t>России</w:t>
      </w:r>
      <w:r w:rsidRPr="00275EC3">
        <w:rPr>
          <w:sz w:val="28"/>
          <w:szCs w:val="28"/>
        </w:rPr>
        <w:t xml:space="preserve"> </w:t>
      </w:r>
      <w:r w:rsidR="00275EC3" w:rsidRPr="00275EC3">
        <w:rPr>
          <w:sz w:val="28"/>
          <w:szCs w:val="28"/>
        </w:rPr>
        <w:t>87</w:t>
      </w:r>
      <w:r w:rsidRPr="00275EC3">
        <w:rPr>
          <w:sz w:val="28"/>
          <w:szCs w:val="28"/>
        </w:rPr>
        <w:t xml:space="preserve"> 5</w:t>
      </w:r>
      <w:r w:rsidR="00275EC3" w:rsidRPr="00275EC3">
        <w:rPr>
          <w:sz w:val="28"/>
          <w:szCs w:val="28"/>
        </w:rPr>
        <w:t>49</w:t>
      </w:r>
      <w:r w:rsidRPr="00275EC3">
        <w:rPr>
          <w:sz w:val="28"/>
          <w:szCs w:val="28"/>
        </w:rPr>
        <w:t xml:space="preserve"> </w:t>
      </w:r>
      <w:r w:rsidRPr="00FE21C2">
        <w:rPr>
          <w:color w:val="000000" w:themeColor="text1"/>
          <w:sz w:val="28"/>
          <w:szCs w:val="28"/>
        </w:rPr>
        <w:t>работодателей);</w:t>
      </w:r>
    </w:p>
    <w:p w:rsidR="002B0DB7" w:rsidRPr="00FE21C2" w:rsidRDefault="002B0DB7" w:rsidP="002B0DB7">
      <w:pPr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FE21C2">
        <w:rPr>
          <w:color w:val="000000" w:themeColor="text1"/>
          <w:sz w:val="28"/>
          <w:szCs w:val="28"/>
        </w:rPr>
        <w:t>- граждане, обратившиеся за содействием трудоустройства в службу занятости населения автономного округа (</w:t>
      </w:r>
      <w:r w:rsidR="00991DF5" w:rsidRPr="00FE21C2">
        <w:rPr>
          <w:color w:val="000000" w:themeColor="text1"/>
          <w:sz w:val="28"/>
          <w:szCs w:val="28"/>
        </w:rPr>
        <w:t>в 2016</w:t>
      </w:r>
      <w:r w:rsidRPr="00FE21C2">
        <w:rPr>
          <w:color w:val="000000" w:themeColor="text1"/>
          <w:sz w:val="28"/>
          <w:szCs w:val="28"/>
        </w:rPr>
        <w:t xml:space="preserve"> году – </w:t>
      </w:r>
      <w:r w:rsidR="00FE21C2" w:rsidRPr="00FE21C2">
        <w:rPr>
          <w:color w:val="000000" w:themeColor="text1"/>
          <w:sz w:val="28"/>
          <w:szCs w:val="28"/>
        </w:rPr>
        <w:t>54 094</w:t>
      </w:r>
      <w:r w:rsidRPr="00FE21C2">
        <w:rPr>
          <w:color w:val="000000" w:themeColor="text1"/>
          <w:sz w:val="28"/>
          <w:szCs w:val="28"/>
        </w:rPr>
        <w:t xml:space="preserve"> человека).</w:t>
      </w: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16"/>
          <w:szCs w:val="16"/>
        </w:rPr>
      </w:pP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 xml:space="preserve">7. Оценка расходов (доходов) бюджета Ханты-Мансийского автономного </w:t>
      </w:r>
      <w:r w:rsidRPr="00033D7C">
        <w:rPr>
          <w:sz w:val="28"/>
          <w:szCs w:val="28"/>
        </w:rPr>
        <w:br/>
        <w:t>округа – Югры, связанных с введением правового регулирования:</w:t>
      </w:r>
    </w:p>
    <w:p w:rsid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FE21C2">
        <w:rPr>
          <w:rFonts w:eastAsia="Calibri"/>
          <w:sz w:val="28"/>
          <w:szCs w:val="28"/>
        </w:rPr>
        <w:t xml:space="preserve">бщий объем финансирования </w:t>
      </w:r>
      <w:r>
        <w:rPr>
          <w:rFonts w:eastAsia="Calibri"/>
          <w:sz w:val="28"/>
          <w:szCs w:val="28"/>
        </w:rPr>
        <w:t>Г</w:t>
      </w:r>
      <w:r w:rsidRPr="00FE21C2">
        <w:rPr>
          <w:rFonts w:eastAsia="Calibri"/>
          <w:sz w:val="28"/>
          <w:szCs w:val="28"/>
        </w:rPr>
        <w:t xml:space="preserve">осударственной программы составляет </w:t>
      </w:r>
      <w:r>
        <w:rPr>
          <w:rFonts w:eastAsia="Calibri"/>
          <w:sz w:val="28"/>
          <w:szCs w:val="28"/>
        </w:rPr>
        <w:t>–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>8 605 323,1 тыс. рублей, в том числе: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2016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1885080,1 тыс. рублей;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2017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1 916 798,9 тыс. рублей;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2018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1871125,6 тыс. рублей;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2019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1885521,3 тыс. рублей;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2020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1046797,2 тыс. рублей.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Средства бюджета автономного округа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4811087,6 тыс. рублей, в том числе: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2016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1004655,3 тыс. рублей;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2017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1007315,8 тыс. рублей;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2018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951149,6 тыс. рублей;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2019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947319,7 тыс. рублей;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2020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900647,2 тыс. рублей.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Средства федерального бюджета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1312177,7 тыс. рублей, в том числе: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2016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317291,5 тыс. рублей;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2017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328186,4 тыс. рублей;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2018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331582,9 тыс. рублей;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2019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335116,9 тыс. рублей.</w:t>
      </w:r>
    </w:p>
    <w:p w:rsidR="00FE21C2" w:rsidRPr="00FE21C2" w:rsidRDefault="00FE21C2" w:rsidP="00FE21C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Внебюджетные источники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2 482 057,8 тыс. рублей, в том числе: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2016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563133,3 тыс. рублей;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2017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581 296,7 тыс. рублей;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2018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588393,1 тыс. рублей;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t xml:space="preserve">в 2019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603084,7 тыс. рублей;</w:t>
      </w:r>
    </w:p>
    <w:p w:rsidR="00FE21C2" w:rsidRPr="00FE21C2" w:rsidRDefault="00FE21C2" w:rsidP="00FE21C2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E21C2">
        <w:rPr>
          <w:rFonts w:eastAsia="Calibri"/>
          <w:sz w:val="28"/>
          <w:szCs w:val="28"/>
        </w:rPr>
        <w:lastRenderedPageBreak/>
        <w:t xml:space="preserve">в 2020 году </w:t>
      </w:r>
      <w:r>
        <w:rPr>
          <w:rFonts w:eastAsia="Calibri"/>
          <w:sz w:val="28"/>
          <w:szCs w:val="28"/>
        </w:rPr>
        <w:t>–</w:t>
      </w:r>
      <w:r w:rsidRPr="00FE21C2">
        <w:rPr>
          <w:rFonts w:eastAsia="Calibri"/>
          <w:sz w:val="28"/>
          <w:szCs w:val="28"/>
        </w:rPr>
        <w:t xml:space="preserve"> 146150,0 тыс. рублей.</w:t>
      </w:r>
    </w:p>
    <w:p w:rsidR="00FE21C2" w:rsidRPr="00033D7C" w:rsidRDefault="00FE21C2" w:rsidP="00C5287A">
      <w:pPr>
        <w:autoSpaceDE w:val="0"/>
        <w:autoSpaceDN w:val="0"/>
        <w:rPr>
          <w:sz w:val="16"/>
          <w:szCs w:val="16"/>
        </w:rPr>
      </w:pPr>
    </w:p>
    <w:p w:rsidR="00C5287A" w:rsidRDefault="00C5287A" w:rsidP="00100163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100163" w:rsidRDefault="00100163" w:rsidP="0010016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участия в мероприятиях Государственной программы для работодателей установлена обязанность по предоставлению пакета документов:</w:t>
      </w:r>
    </w:p>
    <w:p w:rsidR="00100163" w:rsidRDefault="00100163" w:rsidP="001001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заявления по установленной  форме;</w:t>
      </w:r>
    </w:p>
    <w:p w:rsidR="00100163" w:rsidRDefault="00100163" w:rsidP="001001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справки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предпринимателей, </w:t>
      </w:r>
      <w:proofErr w:type="gramStart"/>
      <w:r>
        <w:rPr>
          <w:rFonts w:eastAsia="Calibri"/>
          <w:sz w:val="28"/>
          <w:szCs w:val="28"/>
        </w:rPr>
        <w:t>выданную</w:t>
      </w:r>
      <w:proofErr w:type="gramEnd"/>
      <w:r>
        <w:rPr>
          <w:rFonts w:eastAsia="Calibri"/>
          <w:sz w:val="28"/>
          <w:szCs w:val="28"/>
        </w:rPr>
        <w:t xml:space="preserve"> не ранее чем за 90 дней до представления в центр занятости населения;</w:t>
      </w:r>
    </w:p>
    <w:p w:rsidR="00100163" w:rsidRDefault="00100163" w:rsidP="001001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информационного письма работодателя, </w:t>
      </w:r>
      <w:proofErr w:type="gramStart"/>
      <w:r>
        <w:rPr>
          <w:rFonts w:eastAsia="Calibri"/>
          <w:sz w:val="28"/>
          <w:szCs w:val="28"/>
        </w:rPr>
        <w:t>подтверждающее</w:t>
      </w:r>
      <w:proofErr w:type="gramEnd"/>
      <w:r>
        <w:rPr>
          <w:rFonts w:eastAsia="Calibri"/>
          <w:sz w:val="28"/>
          <w:szCs w:val="28"/>
        </w:rPr>
        <w:t xml:space="preserve"> стоимость активов по состоянию на последнюю отчетную дату, - для работодателей, имеющих задолженность по начисленным налогам, сборам, страховым взносам, пеням, штрафам, процентам (за исключением органов местного самоуправления);</w:t>
      </w:r>
    </w:p>
    <w:p w:rsidR="00100163" w:rsidRDefault="00100163" w:rsidP="001001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документов, подтверждающих полномочия лица, действующего от имени работодателя (в случае обращения в центр занятости населения представителя работодателя).</w:t>
      </w:r>
    </w:p>
    <w:p w:rsidR="00100163" w:rsidRDefault="00100163" w:rsidP="001001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Для участия в мероприятиях Государственной программы работодатель должен соответствовать следующим требованиям:</w:t>
      </w:r>
    </w:p>
    <w:p w:rsidR="00100163" w:rsidRDefault="00100163" w:rsidP="001001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непревышение</w:t>
      </w:r>
      <w:proofErr w:type="spellEnd"/>
      <w:r>
        <w:rPr>
          <w:rFonts w:eastAsia="Calibri"/>
          <w:sz w:val="28"/>
          <w:szCs w:val="28"/>
        </w:rPr>
        <w:t xml:space="preserve"> задолженности по начисленным налогам, сборам, страховым взносам, пеням, штрафам, процентам 25 процентов балансовой стоимости его активов по данным бухгалтерской отчетности за последний завершенный отчетный период;</w:t>
      </w:r>
    </w:p>
    <w:p w:rsidR="00100163" w:rsidRDefault="00100163" w:rsidP="001001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непризнание в установленном порядке банкротом или в </w:t>
      </w:r>
      <w:proofErr w:type="gramStart"/>
      <w:r>
        <w:rPr>
          <w:rFonts w:eastAsia="Calibri"/>
          <w:sz w:val="28"/>
          <w:szCs w:val="28"/>
        </w:rPr>
        <w:t>отношении</w:t>
      </w:r>
      <w:proofErr w:type="gramEnd"/>
      <w:r>
        <w:rPr>
          <w:rFonts w:eastAsia="Calibri"/>
          <w:sz w:val="28"/>
          <w:szCs w:val="28"/>
        </w:rPr>
        <w:t xml:space="preserve"> которого в установленном порядке не введена процедура внешнего управления, применена санация уполномоченными на то органами;</w:t>
      </w:r>
    </w:p>
    <w:p w:rsidR="00100163" w:rsidRDefault="00100163" w:rsidP="001001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процесса ликвидации;</w:t>
      </w:r>
    </w:p>
    <w:p w:rsidR="00100163" w:rsidRDefault="00100163" w:rsidP="001001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решения о прекращении деятельности в качестве индивидуального предпринимателя и подачи в регистрирующий орган соответствующего заявления;</w:t>
      </w:r>
    </w:p>
    <w:p w:rsidR="00100163" w:rsidRDefault="00100163" w:rsidP="001001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согласие на осуществление ответственным исполнителем Государственной программы и органами государственного финансового контроля автономного округа проверок соблюдения получателями финансовых средств условий, целей и порядка их предоставления.</w:t>
      </w:r>
    </w:p>
    <w:p w:rsidR="00100163" w:rsidRPr="00100163" w:rsidRDefault="00100163" w:rsidP="00100163">
      <w:pPr>
        <w:autoSpaceDE w:val="0"/>
        <w:autoSpaceDN w:val="0"/>
        <w:jc w:val="both"/>
        <w:rPr>
          <w:sz w:val="28"/>
          <w:szCs w:val="28"/>
        </w:rPr>
      </w:pP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051B5D" w:rsidRDefault="00B07455" w:rsidP="00051B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субъектов </w:t>
      </w:r>
      <w:r w:rsidRPr="00033D7C">
        <w:rPr>
          <w:sz w:val="28"/>
          <w:szCs w:val="28"/>
        </w:rPr>
        <w:t>предпринимательской и инвест</w:t>
      </w:r>
      <w:r>
        <w:rPr>
          <w:sz w:val="28"/>
          <w:szCs w:val="28"/>
        </w:rPr>
        <w:t xml:space="preserve">иционной деятельности, связанные </w:t>
      </w:r>
      <w:r w:rsidRPr="00033D7C">
        <w:rPr>
          <w:sz w:val="28"/>
          <w:szCs w:val="28"/>
        </w:rPr>
        <w:t xml:space="preserve"> с необходимостью соблюдения установленных обязанностей либо изменением </w:t>
      </w:r>
      <w:r>
        <w:rPr>
          <w:sz w:val="28"/>
          <w:szCs w:val="28"/>
        </w:rPr>
        <w:t xml:space="preserve">содержания таких обязанностей, включают затраты </w:t>
      </w:r>
      <w:proofErr w:type="gramStart"/>
      <w:r w:rsidR="00051B5D">
        <w:rPr>
          <w:sz w:val="28"/>
          <w:szCs w:val="28"/>
        </w:rPr>
        <w:t>на</w:t>
      </w:r>
      <w:proofErr w:type="gramEnd"/>
      <w:r w:rsidR="00051B5D">
        <w:rPr>
          <w:sz w:val="28"/>
          <w:szCs w:val="28"/>
        </w:rPr>
        <w:t>:</w:t>
      </w:r>
    </w:p>
    <w:p w:rsidR="00051B5D" w:rsidRDefault="00051B5D" w:rsidP="00051B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получение </w:t>
      </w:r>
      <w:r>
        <w:rPr>
          <w:rFonts w:eastAsia="Calibri"/>
          <w:sz w:val="28"/>
          <w:szCs w:val="28"/>
        </w:rPr>
        <w:t>справки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предпринимателей;</w:t>
      </w:r>
    </w:p>
    <w:p w:rsidR="00051B5D" w:rsidRDefault="00051B5D" w:rsidP="00051B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поездку </w:t>
      </w:r>
      <w:r w:rsidRPr="00AB6F5F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территориальную инспекцию  У</w:t>
      </w:r>
      <w:r w:rsidRPr="00AB6F5F">
        <w:rPr>
          <w:sz w:val="28"/>
          <w:szCs w:val="28"/>
        </w:rPr>
        <w:t xml:space="preserve">ФНС России </w:t>
      </w:r>
      <w:r>
        <w:rPr>
          <w:sz w:val="28"/>
          <w:szCs w:val="28"/>
        </w:rPr>
        <w:t xml:space="preserve">по ХМАО-Югре </w:t>
      </w:r>
      <w:r w:rsidRPr="00AB6F5F">
        <w:rPr>
          <w:sz w:val="28"/>
          <w:szCs w:val="28"/>
        </w:rPr>
        <w:t xml:space="preserve">(туда и обратно) за </w:t>
      </w:r>
      <w:r>
        <w:rPr>
          <w:sz w:val="28"/>
          <w:szCs w:val="28"/>
        </w:rPr>
        <w:t>сведениями.</w:t>
      </w:r>
    </w:p>
    <w:p w:rsidR="00051B5D" w:rsidRDefault="00051B5D" w:rsidP="00051B5D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D95356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Pr="006F7771">
        <w:rPr>
          <w:rFonts w:ascii="Times New Roman" w:hAnsi="Times New Roman" w:cs="Times New Roman"/>
          <w:sz w:val="28"/>
          <w:szCs w:val="28"/>
        </w:rPr>
        <w:t>о состоянии расчетов по налогам, сборам, пеням и штрафам, состоянии расчетов по страховым взносам, пеням и штрафам</w:t>
      </w:r>
      <w:r w:rsidRPr="00D95356">
        <w:rPr>
          <w:rFonts w:ascii="Times New Roman" w:hAnsi="Times New Roman" w:cs="Times New Roman"/>
          <w:sz w:val="28"/>
          <w:szCs w:val="28"/>
        </w:rPr>
        <w:t xml:space="preserve"> о конкретном юридическом лице или об индивидуа</w:t>
      </w:r>
      <w:r>
        <w:rPr>
          <w:rFonts w:ascii="Times New Roman" w:hAnsi="Times New Roman" w:cs="Times New Roman"/>
          <w:sz w:val="28"/>
          <w:szCs w:val="28"/>
        </w:rPr>
        <w:t>льном предпринимателе    –  200 рублей за одну справку в установленные сроки</w:t>
      </w:r>
      <w:r w:rsidRPr="00D9535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56">
        <w:rPr>
          <w:rFonts w:ascii="Times New Roman" w:hAnsi="Times New Roman" w:cs="Times New Roman"/>
          <w:sz w:val="28"/>
          <w:szCs w:val="28"/>
        </w:rPr>
        <w:t>за предоставление сведений о конкретном юридическом лице или об индивидуальном предпринимателе не позднее рабочего дня, следующего за 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56">
        <w:rPr>
          <w:rFonts w:ascii="Times New Roman" w:hAnsi="Times New Roman" w:cs="Times New Roman"/>
          <w:sz w:val="28"/>
          <w:szCs w:val="28"/>
        </w:rPr>
        <w:t>поступления запроса в регистрирующий орган (сро</w:t>
      </w:r>
      <w:r>
        <w:rPr>
          <w:rFonts w:ascii="Times New Roman" w:hAnsi="Times New Roman" w:cs="Times New Roman"/>
          <w:sz w:val="28"/>
          <w:szCs w:val="28"/>
        </w:rPr>
        <w:t xml:space="preserve">чное предоставление), – 400 рублей. </w:t>
      </w:r>
    </w:p>
    <w:p w:rsidR="00051B5D" w:rsidRPr="00343500" w:rsidRDefault="00051B5D" w:rsidP="00051B5D">
      <w:pPr>
        <w:pStyle w:val="Defaul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E60">
        <w:rPr>
          <w:rFonts w:ascii="Times New Roman" w:hAnsi="Times New Roman" w:cs="Times New Roman"/>
          <w:i/>
          <w:sz w:val="28"/>
          <w:szCs w:val="28"/>
        </w:rPr>
        <w:t xml:space="preserve">Источник данных: постановление Правительства Российской Федерации от 19.05.2014 года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</w:t>
      </w:r>
      <w:proofErr w:type="gramStart"/>
      <w:r w:rsidRPr="00734E60">
        <w:rPr>
          <w:rFonts w:ascii="Times New Roman" w:hAnsi="Times New Roman" w:cs="Times New Roman"/>
          <w:i/>
          <w:sz w:val="28"/>
          <w:szCs w:val="28"/>
        </w:rPr>
        <w:t>утратившими</w:t>
      </w:r>
      <w:proofErr w:type="gramEnd"/>
      <w:r w:rsidRPr="00734E60">
        <w:rPr>
          <w:rFonts w:ascii="Times New Roman" w:hAnsi="Times New Roman" w:cs="Times New Roman"/>
          <w:i/>
          <w:sz w:val="28"/>
          <w:szCs w:val="28"/>
        </w:rPr>
        <w:t xml:space="preserve"> силу некоторых актов Правит</w:t>
      </w:r>
      <w:r>
        <w:rPr>
          <w:rFonts w:ascii="Times New Roman" w:hAnsi="Times New Roman" w:cs="Times New Roman"/>
          <w:i/>
          <w:sz w:val="28"/>
          <w:szCs w:val="28"/>
        </w:rPr>
        <w:t xml:space="preserve">ельства Российской Федерации». </w:t>
      </w:r>
    </w:p>
    <w:p w:rsidR="00051B5D" w:rsidRPr="00584786" w:rsidRDefault="00051B5D" w:rsidP="00051B5D">
      <w:pPr>
        <w:pStyle w:val="Default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5F">
        <w:rPr>
          <w:rFonts w:ascii="Times New Roman" w:hAnsi="Times New Roman" w:cs="Times New Roman"/>
          <w:sz w:val="28"/>
          <w:szCs w:val="28"/>
        </w:rPr>
        <w:t xml:space="preserve">Стоимость поездки </w:t>
      </w:r>
      <w:r>
        <w:rPr>
          <w:rFonts w:ascii="Times New Roman" w:hAnsi="Times New Roman" w:cs="Times New Roman"/>
          <w:sz w:val="28"/>
          <w:szCs w:val="28"/>
        </w:rPr>
        <w:t xml:space="preserve">по получению сведений </w:t>
      </w:r>
      <w:r w:rsidRPr="00AB6F5F">
        <w:rPr>
          <w:rFonts w:ascii="Times New Roman" w:hAnsi="Times New Roman" w:cs="Times New Roman"/>
          <w:sz w:val="28"/>
          <w:szCs w:val="28"/>
        </w:rPr>
        <w:t>выбирается в зависимости от распространенного вид</w:t>
      </w:r>
      <w:r>
        <w:rPr>
          <w:rFonts w:ascii="Times New Roman" w:hAnsi="Times New Roman" w:cs="Times New Roman"/>
          <w:sz w:val="28"/>
          <w:szCs w:val="28"/>
        </w:rPr>
        <w:t>а транспорта, произведем расчет поездки на городском</w:t>
      </w:r>
      <w:r w:rsidRPr="00AB6F5F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051B5D" w:rsidRDefault="00E02BD4" w:rsidP="00051B5D">
      <w:pPr>
        <w:pStyle w:val="Defaul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051B5D">
        <w:rPr>
          <w:rFonts w:ascii="Times New Roman" w:hAnsi="Times New Roman" w:cs="Times New Roman"/>
          <w:sz w:val="28"/>
          <w:szCs w:val="28"/>
        </w:rPr>
        <w:t xml:space="preserve"> = 22</w:t>
      </w:r>
      <w:proofErr w:type="gramStart"/>
      <w:r w:rsidR="00051B5D" w:rsidRPr="00861D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51B5D" w:rsidRPr="00861D25">
        <w:rPr>
          <w:rFonts w:ascii="Times New Roman" w:hAnsi="Times New Roman" w:cs="Times New Roman"/>
          <w:sz w:val="28"/>
          <w:szCs w:val="28"/>
        </w:rPr>
        <w:t xml:space="preserve"> (1 х </w:t>
      </w:r>
      <w:r w:rsidR="00051B5D">
        <w:rPr>
          <w:rFonts w:ascii="Times New Roman" w:hAnsi="Times New Roman" w:cs="Times New Roman"/>
          <w:sz w:val="28"/>
          <w:szCs w:val="28"/>
        </w:rPr>
        <w:t>1</w:t>
      </w:r>
      <w:r w:rsidR="00051B5D" w:rsidRPr="00861D25">
        <w:rPr>
          <w:rFonts w:ascii="Times New Roman" w:hAnsi="Times New Roman" w:cs="Times New Roman"/>
          <w:sz w:val="28"/>
          <w:szCs w:val="28"/>
        </w:rPr>
        <w:t xml:space="preserve">)= </w:t>
      </w:r>
      <w:r w:rsidR="00051B5D">
        <w:rPr>
          <w:rFonts w:ascii="Times New Roman" w:hAnsi="Times New Roman" w:cs="Times New Roman"/>
          <w:sz w:val="28"/>
          <w:szCs w:val="28"/>
        </w:rPr>
        <w:t>22 рубля х 6 поездок=132 рубля (</w:t>
      </w:r>
      <w:r w:rsidR="00051B5D" w:rsidRPr="00861D25">
        <w:rPr>
          <w:rFonts w:ascii="Times New Roman" w:hAnsi="Times New Roman" w:cs="Times New Roman"/>
          <w:i/>
          <w:sz w:val="28"/>
          <w:szCs w:val="28"/>
        </w:rPr>
        <w:t xml:space="preserve">данные </w:t>
      </w:r>
      <w:r w:rsidR="00051B5D">
        <w:rPr>
          <w:rFonts w:ascii="Times New Roman" w:hAnsi="Times New Roman" w:cs="Times New Roman"/>
          <w:i/>
          <w:sz w:val="28"/>
          <w:szCs w:val="28"/>
        </w:rPr>
        <w:t>региональной службы по тарифам).</w:t>
      </w:r>
    </w:p>
    <w:p w:rsidR="00051B5D" w:rsidRPr="00033D7C" w:rsidRDefault="00051B5D" w:rsidP="00B07455">
      <w:pPr>
        <w:autoSpaceDE w:val="0"/>
        <w:autoSpaceDN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расходы</w:t>
      </w:r>
      <w:r w:rsidR="00E02BD4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</w:t>
      </w:r>
      <w:r w:rsidRPr="00033D7C">
        <w:rPr>
          <w:sz w:val="28"/>
          <w:szCs w:val="28"/>
        </w:rPr>
        <w:t xml:space="preserve"> с необходимостью соблюдения установленных обязанностей</w:t>
      </w:r>
      <w:r>
        <w:rPr>
          <w:sz w:val="28"/>
          <w:szCs w:val="28"/>
        </w:rPr>
        <w:t xml:space="preserve">, </w:t>
      </w:r>
      <w:r w:rsidR="00E02BD4">
        <w:rPr>
          <w:sz w:val="28"/>
          <w:szCs w:val="28"/>
        </w:rPr>
        <w:t xml:space="preserve">составляют  на одного субъекта </w:t>
      </w:r>
      <w:r w:rsidR="00E02BD4" w:rsidRPr="00033D7C">
        <w:rPr>
          <w:sz w:val="28"/>
          <w:szCs w:val="28"/>
        </w:rPr>
        <w:t>предпринимательской и инвест</w:t>
      </w:r>
      <w:r w:rsidR="00E02BD4">
        <w:rPr>
          <w:sz w:val="28"/>
          <w:szCs w:val="28"/>
        </w:rPr>
        <w:t>иционной деятельности – 332 рубля.</w:t>
      </w:r>
    </w:p>
    <w:p w:rsidR="00B07455" w:rsidRDefault="00B07455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10. Иные сведения, которые по мнению органа власти, осуществляющего экспертизу нормативных правовых актов, позволяют оценить эффективность действующего государственного регулирования:</w:t>
      </w:r>
    </w:p>
    <w:p w:rsidR="00C5287A" w:rsidRDefault="0013734C" w:rsidP="0013734C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Инструментом объективной оценки достижения целей, выполнения основных задач и мероприятий Государственной программы являются целевые показатели.</w:t>
      </w:r>
    </w:p>
    <w:p w:rsidR="000B3F4C" w:rsidRDefault="006D4454" w:rsidP="000B3F4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D4454">
        <w:rPr>
          <w:sz w:val="28"/>
          <w:szCs w:val="28"/>
        </w:rPr>
        <w:t>Из 25 целевых показателей</w:t>
      </w:r>
      <w:r w:rsidRPr="006D4454">
        <w:rPr>
          <w:bCs/>
          <w:sz w:val="28"/>
          <w:szCs w:val="28"/>
        </w:rPr>
        <w:t xml:space="preserve"> реализации </w:t>
      </w:r>
      <w:r w:rsidR="000B3F4C">
        <w:rPr>
          <w:bCs/>
          <w:sz w:val="28"/>
          <w:szCs w:val="28"/>
        </w:rPr>
        <w:t>Г</w:t>
      </w:r>
      <w:r w:rsidRPr="006D4454">
        <w:rPr>
          <w:bCs/>
          <w:sz w:val="28"/>
          <w:szCs w:val="28"/>
        </w:rPr>
        <w:t>осударственной программы</w:t>
      </w:r>
      <w:r w:rsidRPr="006D4454">
        <w:rPr>
          <w:sz w:val="28"/>
          <w:szCs w:val="28"/>
        </w:rPr>
        <w:t>, установленных в 2016 году, запланированное годовое значение достигнуто по всем 25 показателям, при этом по 4 показателям значение перевыполнено</w:t>
      </w:r>
      <w:r>
        <w:rPr>
          <w:sz w:val="28"/>
          <w:szCs w:val="28"/>
        </w:rPr>
        <w:t>.</w:t>
      </w:r>
    </w:p>
    <w:p w:rsidR="0013734C" w:rsidRPr="000B3F4C" w:rsidRDefault="0013734C" w:rsidP="000B3F4C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государственных программ автономного округа </w:t>
      </w:r>
      <w:r w:rsidR="000B3F4C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 в соответствии с Методикой, утвержденной распоряжением Правительства автономного округа от 8 мая 2014 года № 246-рп «О </w:t>
      </w:r>
      <w:r>
        <w:rPr>
          <w:sz w:val="28"/>
          <w:szCs w:val="28"/>
        </w:rPr>
        <w:lastRenderedPageBreak/>
        <w:t>Методике оценки эффективности реализации государственных программ Ханты-Мансийского автономного округа – Югры»</w:t>
      </w:r>
    </w:p>
    <w:p w:rsidR="0013734C" w:rsidRDefault="0013734C" w:rsidP="00137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реализации за 2016 год Государственная программа признана эффективной, присвоена оценка «отлично», по результатам социологического опроса уровень удовлетворенности населения автономного округа реализацией </w:t>
      </w:r>
      <w:r w:rsidR="000B3F4C">
        <w:rPr>
          <w:sz w:val="28"/>
          <w:szCs w:val="28"/>
        </w:rPr>
        <w:t>Г</w:t>
      </w:r>
      <w:r>
        <w:rPr>
          <w:sz w:val="28"/>
          <w:szCs w:val="28"/>
        </w:rPr>
        <w:t>осударственной программы увеличился по сравнению с 2015 годом на 2,0 % и составил за 2016 год – 73,6 %.</w:t>
      </w:r>
    </w:p>
    <w:p w:rsidR="00C5287A" w:rsidRPr="00033D7C" w:rsidRDefault="00C5287A" w:rsidP="00C5287A">
      <w:pPr>
        <w:autoSpaceDE w:val="0"/>
        <w:autoSpaceDN w:val="0"/>
        <w:spacing w:after="120"/>
        <w:rPr>
          <w:sz w:val="16"/>
          <w:szCs w:val="16"/>
        </w:rPr>
      </w:pPr>
    </w:p>
    <w:p w:rsidR="00C5287A" w:rsidRPr="00033D7C" w:rsidRDefault="00C5287A" w:rsidP="00C5287A">
      <w:pPr>
        <w:autoSpaceDE w:val="0"/>
        <w:autoSpaceDN w:val="0"/>
        <w:spacing w:after="120"/>
        <w:rPr>
          <w:sz w:val="28"/>
          <w:szCs w:val="28"/>
        </w:rPr>
      </w:pPr>
      <w:r w:rsidRPr="00033D7C">
        <w:rPr>
          <w:sz w:val="28"/>
          <w:szCs w:val="28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C5287A" w:rsidRPr="00033D7C" w:rsidTr="00C5287A">
        <w:tc>
          <w:tcPr>
            <w:tcW w:w="567" w:type="dxa"/>
            <w:shd w:val="clear" w:color="auto" w:fill="auto"/>
          </w:tcPr>
          <w:p w:rsidR="00C5287A" w:rsidRPr="00033D7C" w:rsidRDefault="00C5287A" w:rsidP="00C5287A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C5287A" w:rsidRPr="00033D7C" w:rsidRDefault="00C5287A" w:rsidP="00C5287A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C5287A" w:rsidRPr="00033D7C" w:rsidTr="00C5287A">
        <w:tc>
          <w:tcPr>
            <w:tcW w:w="567" w:type="dxa"/>
            <w:shd w:val="clear" w:color="auto" w:fill="auto"/>
          </w:tcPr>
          <w:p w:rsidR="00C5287A" w:rsidRPr="00033D7C" w:rsidRDefault="00C5287A" w:rsidP="00C5287A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C5287A" w:rsidRPr="00033D7C" w:rsidRDefault="00C5287A" w:rsidP="00C5287A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Иные материалы, которые, по мнению органа власти, осуществляющего экспертизу 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:rsidR="001F1F72" w:rsidRPr="00DD5EF3" w:rsidRDefault="001F1F72" w:rsidP="00C5287A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b/>
        </w:rPr>
      </w:pPr>
    </w:p>
    <w:sectPr w:rsidR="001F1F72" w:rsidRPr="00DD5EF3" w:rsidSect="00033D7C">
      <w:headerReference w:type="default" r:id="rId10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2B" w:rsidRDefault="00703D2B">
      <w:r>
        <w:separator/>
      </w:r>
    </w:p>
  </w:endnote>
  <w:endnote w:type="continuationSeparator" w:id="0">
    <w:p w:rsidR="00703D2B" w:rsidRDefault="0070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2B" w:rsidRDefault="00703D2B">
      <w:r>
        <w:separator/>
      </w:r>
    </w:p>
  </w:footnote>
  <w:footnote w:type="continuationSeparator" w:id="0">
    <w:p w:rsidR="00703D2B" w:rsidRDefault="0070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2B" w:rsidRPr="005315E5" w:rsidRDefault="00703D2B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0B3F4C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2279A"/>
    <w:rsid w:val="00033D7C"/>
    <w:rsid w:val="00033FB9"/>
    <w:rsid w:val="00051B5D"/>
    <w:rsid w:val="00063DCB"/>
    <w:rsid w:val="0007734A"/>
    <w:rsid w:val="0008398A"/>
    <w:rsid w:val="000B3F4C"/>
    <w:rsid w:val="000B6331"/>
    <w:rsid w:val="000D5994"/>
    <w:rsid w:val="000F437E"/>
    <w:rsid w:val="00100163"/>
    <w:rsid w:val="00102FA1"/>
    <w:rsid w:val="00110529"/>
    <w:rsid w:val="00115267"/>
    <w:rsid w:val="00123E4F"/>
    <w:rsid w:val="0013734C"/>
    <w:rsid w:val="00146CF7"/>
    <w:rsid w:val="00152D65"/>
    <w:rsid w:val="00195E8D"/>
    <w:rsid w:val="001A518D"/>
    <w:rsid w:val="001C1C48"/>
    <w:rsid w:val="001C323A"/>
    <w:rsid w:val="001D4548"/>
    <w:rsid w:val="001D5330"/>
    <w:rsid w:val="001E1D11"/>
    <w:rsid w:val="001E1E3F"/>
    <w:rsid w:val="001F1F72"/>
    <w:rsid w:val="002070AD"/>
    <w:rsid w:val="002227ED"/>
    <w:rsid w:val="002251B9"/>
    <w:rsid w:val="00245458"/>
    <w:rsid w:val="00246DA4"/>
    <w:rsid w:val="00275EC3"/>
    <w:rsid w:val="00293307"/>
    <w:rsid w:val="00294979"/>
    <w:rsid w:val="002A519A"/>
    <w:rsid w:val="002B0DB7"/>
    <w:rsid w:val="002B4D31"/>
    <w:rsid w:val="002B6C4C"/>
    <w:rsid w:val="00300A17"/>
    <w:rsid w:val="0030674A"/>
    <w:rsid w:val="003135A4"/>
    <w:rsid w:val="00326C2D"/>
    <w:rsid w:val="00331F13"/>
    <w:rsid w:val="003379A0"/>
    <w:rsid w:val="003A25E2"/>
    <w:rsid w:val="003A7041"/>
    <w:rsid w:val="003B7CB3"/>
    <w:rsid w:val="003D14D6"/>
    <w:rsid w:val="003D5E36"/>
    <w:rsid w:val="003F1E0A"/>
    <w:rsid w:val="003F6F7A"/>
    <w:rsid w:val="00413E08"/>
    <w:rsid w:val="004148BF"/>
    <w:rsid w:val="004467E6"/>
    <w:rsid w:val="004824CE"/>
    <w:rsid w:val="00496DF4"/>
    <w:rsid w:val="004D0100"/>
    <w:rsid w:val="004D4E4D"/>
    <w:rsid w:val="004E5CE1"/>
    <w:rsid w:val="004F3689"/>
    <w:rsid w:val="005127B5"/>
    <w:rsid w:val="005315E5"/>
    <w:rsid w:val="00557AE0"/>
    <w:rsid w:val="005653C9"/>
    <w:rsid w:val="005655E5"/>
    <w:rsid w:val="00566712"/>
    <w:rsid w:val="00587B7A"/>
    <w:rsid w:val="00596D32"/>
    <w:rsid w:val="005B5678"/>
    <w:rsid w:val="005C4200"/>
    <w:rsid w:val="005E4BFF"/>
    <w:rsid w:val="005F0E74"/>
    <w:rsid w:val="006030DE"/>
    <w:rsid w:val="00603D49"/>
    <w:rsid w:val="00613656"/>
    <w:rsid w:val="00616548"/>
    <w:rsid w:val="00627A35"/>
    <w:rsid w:val="006707B1"/>
    <w:rsid w:val="006D0659"/>
    <w:rsid w:val="006D307C"/>
    <w:rsid w:val="006D4454"/>
    <w:rsid w:val="006E606A"/>
    <w:rsid w:val="00703D2B"/>
    <w:rsid w:val="00721E07"/>
    <w:rsid w:val="00736AA0"/>
    <w:rsid w:val="00752719"/>
    <w:rsid w:val="00765914"/>
    <w:rsid w:val="007724C1"/>
    <w:rsid w:val="007D0146"/>
    <w:rsid w:val="007F1273"/>
    <w:rsid w:val="0080088D"/>
    <w:rsid w:val="008114CD"/>
    <w:rsid w:val="00816608"/>
    <w:rsid w:val="008465AE"/>
    <w:rsid w:val="008828A8"/>
    <w:rsid w:val="008A0444"/>
    <w:rsid w:val="008C307A"/>
    <w:rsid w:val="00901F3E"/>
    <w:rsid w:val="00911094"/>
    <w:rsid w:val="00920553"/>
    <w:rsid w:val="00942B8E"/>
    <w:rsid w:val="009446F2"/>
    <w:rsid w:val="0094779F"/>
    <w:rsid w:val="0097153A"/>
    <w:rsid w:val="00983634"/>
    <w:rsid w:val="00991DF5"/>
    <w:rsid w:val="009B5567"/>
    <w:rsid w:val="009C250A"/>
    <w:rsid w:val="009D62EC"/>
    <w:rsid w:val="009F04B7"/>
    <w:rsid w:val="00A0327B"/>
    <w:rsid w:val="00A03594"/>
    <w:rsid w:val="00A04EA1"/>
    <w:rsid w:val="00A066E4"/>
    <w:rsid w:val="00A37D1C"/>
    <w:rsid w:val="00A44764"/>
    <w:rsid w:val="00A86769"/>
    <w:rsid w:val="00A87802"/>
    <w:rsid w:val="00AA4161"/>
    <w:rsid w:val="00AA7C26"/>
    <w:rsid w:val="00AC3171"/>
    <w:rsid w:val="00AD6C4C"/>
    <w:rsid w:val="00AD71B3"/>
    <w:rsid w:val="00AE0605"/>
    <w:rsid w:val="00AE5F2D"/>
    <w:rsid w:val="00AF4389"/>
    <w:rsid w:val="00B07455"/>
    <w:rsid w:val="00B15BE5"/>
    <w:rsid w:val="00B4208C"/>
    <w:rsid w:val="00B51BB3"/>
    <w:rsid w:val="00B52518"/>
    <w:rsid w:val="00B67569"/>
    <w:rsid w:val="00B75DBA"/>
    <w:rsid w:val="00B80165"/>
    <w:rsid w:val="00B84990"/>
    <w:rsid w:val="00BA18DF"/>
    <w:rsid w:val="00BA5BC2"/>
    <w:rsid w:val="00C14C14"/>
    <w:rsid w:val="00C510D8"/>
    <w:rsid w:val="00C5287A"/>
    <w:rsid w:val="00C65B54"/>
    <w:rsid w:val="00C67DA6"/>
    <w:rsid w:val="00C70DD4"/>
    <w:rsid w:val="00C83655"/>
    <w:rsid w:val="00C962A5"/>
    <w:rsid w:val="00CB02D1"/>
    <w:rsid w:val="00CC658C"/>
    <w:rsid w:val="00CD37B7"/>
    <w:rsid w:val="00CD735B"/>
    <w:rsid w:val="00CE03D9"/>
    <w:rsid w:val="00CF1CD0"/>
    <w:rsid w:val="00D076D0"/>
    <w:rsid w:val="00D245B3"/>
    <w:rsid w:val="00D34DE5"/>
    <w:rsid w:val="00D86BC4"/>
    <w:rsid w:val="00D919DD"/>
    <w:rsid w:val="00D92DD6"/>
    <w:rsid w:val="00DB3F7E"/>
    <w:rsid w:val="00DC4B95"/>
    <w:rsid w:val="00DC6BC8"/>
    <w:rsid w:val="00DD5DA1"/>
    <w:rsid w:val="00DD5EF3"/>
    <w:rsid w:val="00DE3A3A"/>
    <w:rsid w:val="00DF353A"/>
    <w:rsid w:val="00E01336"/>
    <w:rsid w:val="00E02BD4"/>
    <w:rsid w:val="00E275B2"/>
    <w:rsid w:val="00E34DD2"/>
    <w:rsid w:val="00E35111"/>
    <w:rsid w:val="00E4079C"/>
    <w:rsid w:val="00EA33D7"/>
    <w:rsid w:val="00EC39FE"/>
    <w:rsid w:val="00ED2964"/>
    <w:rsid w:val="00EE4065"/>
    <w:rsid w:val="00EF3391"/>
    <w:rsid w:val="00EF5277"/>
    <w:rsid w:val="00F0379B"/>
    <w:rsid w:val="00F07CEB"/>
    <w:rsid w:val="00F17411"/>
    <w:rsid w:val="00F21E88"/>
    <w:rsid w:val="00F4291D"/>
    <w:rsid w:val="00F43DB5"/>
    <w:rsid w:val="00F60708"/>
    <w:rsid w:val="00F804DD"/>
    <w:rsid w:val="00F84723"/>
    <w:rsid w:val="00FE21C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link w:val="ConsPlusNormal0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Body Text"/>
    <w:basedOn w:val="a"/>
    <w:link w:val="ad"/>
    <w:rsid w:val="005C4200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5C4200"/>
    <w:rPr>
      <w:rFonts w:ascii="Times New Roman" w:eastAsia="Times New Roman" w:hAnsi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5C4200"/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5C42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Абзац списка Знак"/>
    <w:link w:val="aa"/>
    <w:locked/>
    <w:rsid w:val="004D0100"/>
    <w:rPr>
      <w:sz w:val="22"/>
      <w:szCs w:val="22"/>
      <w:lang w:eastAsia="en-US"/>
    </w:rPr>
  </w:style>
  <w:style w:type="paragraph" w:customStyle="1" w:styleId="Default">
    <w:name w:val="Default"/>
    <w:rsid w:val="00051B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link w:val="ConsPlusNormal0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Body Text"/>
    <w:basedOn w:val="a"/>
    <w:link w:val="ad"/>
    <w:rsid w:val="005C4200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5C4200"/>
    <w:rPr>
      <w:rFonts w:ascii="Times New Roman" w:eastAsia="Times New Roman" w:hAnsi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5C4200"/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5C42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Абзац списка Знак"/>
    <w:link w:val="aa"/>
    <w:locked/>
    <w:rsid w:val="004D0100"/>
    <w:rPr>
      <w:sz w:val="22"/>
      <w:szCs w:val="22"/>
      <w:lang w:eastAsia="en-US"/>
    </w:rPr>
  </w:style>
  <w:style w:type="paragraph" w:customStyle="1" w:styleId="Default">
    <w:name w:val="Default"/>
    <w:rsid w:val="00051B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B9442E0982AFCA5D1B9DF4417C3D7840B112045DB59019DB78FCB210570EB0BE3A2E653D600F563889l81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6226-F536-42E8-93F8-2D840F17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17273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Миронова Юлия Александровна</cp:lastModifiedBy>
  <cp:revision>21</cp:revision>
  <cp:lastPrinted>2015-10-09T11:52:00Z</cp:lastPrinted>
  <dcterms:created xsi:type="dcterms:W3CDTF">2016-07-27T10:21:00Z</dcterms:created>
  <dcterms:modified xsi:type="dcterms:W3CDTF">2017-08-09T09:38:00Z</dcterms:modified>
</cp:coreProperties>
</file>