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C0" w:rsidRDefault="002300C0" w:rsidP="002300C0">
      <w:pPr>
        <w:pStyle w:val="ConsPlusNormal"/>
        <w:jc w:val="right"/>
      </w:pPr>
      <w:r>
        <w:t>Приложение 18</w:t>
      </w:r>
    </w:p>
    <w:p w:rsidR="002300C0" w:rsidRDefault="002300C0" w:rsidP="002300C0">
      <w:pPr>
        <w:pStyle w:val="ConsPlusNormal"/>
        <w:jc w:val="right"/>
      </w:pPr>
      <w:r>
        <w:t>к постановлению Правительства</w:t>
      </w:r>
    </w:p>
    <w:p w:rsidR="002300C0" w:rsidRDefault="002300C0" w:rsidP="002300C0">
      <w:pPr>
        <w:pStyle w:val="ConsPlusNormal"/>
        <w:jc w:val="right"/>
      </w:pPr>
      <w:r>
        <w:t>Ханты-Мансийского</w:t>
      </w:r>
    </w:p>
    <w:p w:rsidR="002300C0" w:rsidRDefault="002300C0" w:rsidP="002300C0">
      <w:pPr>
        <w:pStyle w:val="ConsPlusNormal"/>
        <w:jc w:val="right"/>
      </w:pPr>
      <w:r>
        <w:t>автономного округа - Югры</w:t>
      </w:r>
    </w:p>
    <w:p w:rsidR="002300C0" w:rsidRDefault="002300C0" w:rsidP="002300C0">
      <w:pPr>
        <w:pStyle w:val="ConsPlusNormal"/>
        <w:jc w:val="right"/>
      </w:pPr>
      <w:r>
        <w:t>от 5 октября 2018 года N 344-п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ПОРЯДОК</w:t>
      </w:r>
    </w:p>
    <w:p w:rsidR="002300C0" w:rsidRDefault="002300C0" w:rsidP="002300C0">
      <w:pPr>
        <w:pStyle w:val="ConsPlusNormal"/>
        <w:jc w:val="center"/>
      </w:pPr>
      <w:r>
        <w:t>РАСЧЕТА И ПРЕДОСТАВЛЕНИЯ СУБСИДИИ НА ПОВЫШЕНИЕ ЭФФЕКТИВНОСТИ</w:t>
      </w:r>
    </w:p>
    <w:p w:rsidR="002300C0" w:rsidRDefault="002300C0" w:rsidP="002300C0">
      <w:pPr>
        <w:pStyle w:val="ConsPlusNormal"/>
        <w:jc w:val="center"/>
      </w:pPr>
      <w:r>
        <w:t>ИСПОЛЬЗОВАНИЯ И РАЗВИТИЕ РЕСУРСНОГО ПОТЕНЦИАЛА</w:t>
      </w:r>
    </w:p>
    <w:p w:rsidR="002300C0" w:rsidRDefault="002300C0" w:rsidP="002300C0">
      <w:pPr>
        <w:pStyle w:val="ConsPlusNormal"/>
        <w:jc w:val="center"/>
      </w:pPr>
      <w:r>
        <w:t>РЫБОХОЗЯЙСТВЕННОГО КОМПЛЕКСА (ДАЛЕЕ - ПОРЯДОК)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I. Условия предоставления и размер субсидии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r>
        <w:t xml:space="preserve">1.1. Порядок определяет правила расчета и предоставления субсидии для реализации мероприятия 3.1 "Государственная поддержка развития </w:t>
      </w:r>
      <w:proofErr w:type="spellStart"/>
      <w:r>
        <w:t>рыбохозяйственного</w:t>
      </w:r>
      <w:proofErr w:type="spellEnd"/>
      <w:r>
        <w:t xml:space="preserve"> комплекса, рыболовства и производства рыбной продукции", мероприятия 3.2 "Стимулирование развития </w:t>
      </w:r>
      <w:proofErr w:type="spellStart"/>
      <w:r>
        <w:t>аквакультуры</w:t>
      </w:r>
      <w:proofErr w:type="spellEnd"/>
      <w:r>
        <w:t xml:space="preserve">" подпрограммы 3 "Поддержка </w:t>
      </w:r>
      <w:proofErr w:type="spellStart"/>
      <w:r>
        <w:t>рыбохозяйственного</w:t>
      </w:r>
      <w:proofErr w:type="spellEnd"/>
      <w:r>
        <w:t xml:space="preserve"> комплекса" с целью возмещения затрат на производство и реализацию продукции </w:t>
      </w:r>
      <w:proofErr w:type="spellStart"/>
      <w:r>
        <w:t>аквакультуры</w:t>
      </w:r>
      <w:proofErr w:type="spellEnd"/>
      <w:r>
        <w:t xml:space="preserve"> (рыбоводства) и (или) пищевой рыбной продукции (далее - субсидии) из бюджетов муниципальных образований за счет субвенций из бюджета Ханты-Мансийского автономного округа - Югры (далее - автономный округ).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0" w:name="P309"/>
      <w:bookmarkEnd w:id="0"/>
      <w: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Субсидия предоставляется при осуществлении следующих видов деятельности: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реализация искусственно выращенной пищевой рыбы собственного производства;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реализация пищевой рыбной продукции собственного производства.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" w:name="P313"/>
      <w:bookmarkEnd w:id="1"/>
      <w:r>
        <w:t>1.3. 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 (далее - Получатели).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 (далее - Перечень), утверждаемым приказом Департамента промышленности автономного округа (далее - Департамент).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1.4. Предоставление субсидии осуществляется по ставкам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в текущем финансовом году каждому Получателю и по каждому виду деятельности, рассчитывается по формуле: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 wp14:anchorId="08BD187F" wp14:editId="596166F3">
            <wp:extent cx="1104900" cy="428625"/>
            <wp:effectExtent l="0" t="0" r="0" b="9525"/>
            <wp:docPr id="4" name="Рисунок 4" descr="base_24478_20272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02723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субсидии в текущем финансовом году для отдельного Получателя по отдельному виду деятельности;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Kмо</w:t>
      </w:r>
      <w:proofErr w:type="spellEnd"/>
      <w: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 Для Получателей, не осуществляющих производственную деятельность в отчетном финансовом году, доводятся показатели с учетом средних показателей Получателей с аналогичными производственными мощностями (по соответствующему виду деятельности), осуществляющих деятельность в муниципальном образовании (далее - показатели). Сведения о показателях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" w:name="P325"/>
      <w:bookmarkEnd w:id="2"/>
      <w:r>
        <w:t>1.5. Субсидии не предоставляются: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мелочь рыбы III группы, рыбную продукцию, не прошедшую сертификацию (декларирование);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>
        <w:t>чир</w:t>
      </w:r>
      <w:proofErr w:type="spellEnd"/>
      <w:r>
        <w:t xml:space="preserve"> (</w:t>
      </w:r>
      <w:proofErr w:type="spellStart"/>
      <w:r>
        <w:t>щокур</w:t>
      </w:r>
      <w:proofErr w:type="spellEnd"/>
      <w:r>
        <w:t>), тугун, нельма), за исключением искусственно выращенных;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все искусственно выращенные и реализованные виды рыб, за исключением осетровых и сиговых;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рыбную продукцию, произведенную из закупленного сырья без подтверждения оплаты;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 мороженая.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1.6. Для включения (исключения) в Перечень: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1.6.1. Получатели представляют в Департамент следующие документы: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заявление о включении в Перечень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сертификатов или деклараций соответствия на производимую рыбную продукцию.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 xml:space="preserve">1.6.2.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следующие документы: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Федеральную налоговую службу Российской Федерации);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заключения о проведении санитарно-эпидемиологической экспертизы объекта по производству рыбной продукции о соответствии требованиям санитарных норм и правил (в соответствующее территориальное подразделение Федерального бюджетного учреждения здравоохранения "Центр гигиены и эпидемиологии в Ханты-Мансийском автономном округе - Югре").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1.6.3. Правила включения (исключения) в Перечень утверждает Департамент.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" w:name="P340"/>
      <w:bookmarkEnd w:id="3"/>
      <w:r>
        <w:t>1.7.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осуществление деятельности в автономном округе;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309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4" w:name="P347"/>
      <w:bookmarkEnd w:id="4"/>
      <w:r>
        <w:lastRenderedPageBreak/>
        <w:t>1.8. Критерии отбора Получателей: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права собственности или аренды на объекты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соответствие объектов по производству рыбной продукции требованиям санитарных норм и правил по направлению, установленному </w:t>
      </w:r>
      <w:hyperlink w:anchor="P365" w:history="1">
        <w:r>
          <w:rPr>
            <w:color w:val="0000FF"/>
          </w:rPr>
          <w:t>подпунктом 2.1.2 пункта 2.1</w:t>
        </w:r>
      </w:hyperlink>
      <w:r>
        <w:t xml:space="preserve"> Порядка.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II. Правила предоставления субсидии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bookmarkStart w:id="5" w:name="P353"/>
      <w:bookmarkEnd w:id="5"/>
      <w: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Получатели представляют до 5 рабочего дня соответствующего месяца в Уполномоченный орган: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2.1.1. На реализацию искусственно выращенной пищевой рыбы собственного производства: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6" w:name="P357"/>
      <w:bookmarkEnd w:id="6"/>
      <w:r>
        <w:t>заявление о предоставлении субсидии по форме, установленной Уполномоченным органом;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7" w:name="P359"/>
      <w:bookmarkEnd w:id="7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</w:t>
      </w:r>
      <w:r>
        <w:lastRenderedPageBreak/>
        <w:t>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8" w:name="P364"/>
      <w:bookmarkEnd w:id="8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9" w:name="P365"/>
      <w:bookmarkEnd w:id="9"/>
      <w:r>
        <w:t>2.1.2. На реализацию пищевой рыбной продукции собственного производства: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0" w:name="P366"/>
      <w:bookmarkEnd w:id="10"/>
      <w:r>
        <w:t>заявление о предоставлении субсидии по форме, установленной Уполномоченным органом;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1" w:name="P368"/>
      <w:bookmarkEnd w:id="11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2" w:name="P372"/>
      <w:bookmarkEnd w:id="12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353" w:history="1">
        <w:r>
          <w:rPr>
            <w:color w:val="0000FF"/>
          </w:rPr>
          <w:t>пункте 2.1</w:t>
        </w:r>
      </w:hyperlink>
      <w:r>
        <w:t xml:space="preserve"> </w:t>
      </w:r>
      <w:r>
        <w:lastRenderedPageBreak/>
        <w:t>Порядка (далее - документы).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документов, не предусмотренных Порядком, не допускается.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2.4. Документы, предусмотренные в </w:t>
      </w:r>
      <w:hyperlink w:anchor="P353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2) в электронной форме - с использованием Портала.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309" w:history="1">
        <w:r>
          <w:rPr>
            <w:color w:val="0000FF"/>
          </w:rPr>
          <w:t>пункте 1.2</w:t>
        </w:r>
      </w:hyperlink>
      <w:r>
        <w:t xml:space="preserve"> Порядка (в органе местного самоуправления муниципального образования автономного округа);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2.6. Уполномоченный орган в течение 10 рабочих дней с даты регистрации документов, указанных в </w:t>
      </w:r>
      <w:hyperlink w:anchor="P353" w:history="1">
        <w:r>
          <w:rPr>
            <w:color w:val="0000FF"/>
          </w:rPr>
          <w:t>пункте 2.1</w:t>
        </w:r>
      </w:hyperlink>
      <w: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313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340" w:history="1">
        <w:r>
          <w:rPr>
            <w:color w:val="0000FF"/>
          </w:rPr>
          <w:t>1.7</w:t>
        </w:r>
      </w:hyperlink>
      <w:r>
        <w:t xml:space="preserve">, </w:t>
      </w:r>
      <w:hyperlink w:anchor="P347" w:history="1">
        <w:r>
          <w:rPr>
            <w:color w:val="0000FF"/>
          </w:rPr>
          <w:t>1.8</w:t>
        </w:r>
      </w:hyperlink>
      <w:r>
        <w:t xml:space="preserve"> Порядка.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3" w:name="P398"/>
      <w:bookmarkEnd w:id="13"/>
      <w:r>
        <w:lastRenderedPageBreak/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2.9. Соглашение должно содержать следующие положения: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значения показателей результативности;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план контрольных мероприятий;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расчет размера штрафных санкций.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4" w:name="P410"/>
      <w:bookmarkEnd w:id="14"/>
      <w:r>
        <w:t>2.11. Основаниями для отказа в предоставлении субсидии являются: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установленного </w:t>
      </w:r>
      <w:hyperlink w:anchor="P353" w:history="1">
        <w:r>
          <w:rPr>
            <w:color w:val="0000FF"/>
          </w:rPr>
          <w:t>пунктом 2.1</w:t>
        </w:r>
      </w:hyperlink>
      <w:r>
        <w:t xml:space="preserve"> Порядка, </w:t>
      </w:r>
      <w:hyperlink w:anchor="P398" w:history="1">
        <w:r>
          <w:rPr>
            <w:color w:val="0000FF"/>
          </w:rPr>
          <w:t>абзацем вторым пункта 2.7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 (предоставление не в полном объеме), указанных в </w:t>
      </w:r>
      <w:hyperlink w:anchor="P353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представление документов, установленных </w:t>
      </w:r>
      <w:hyperlink w:anchor="P353" w:history="1">
        <w:r>
          <w:rPr>
            <w:color w:val="0000FF"/>
          </w:rPr>
          <w:t>пунктом 2.1</w:t>
        </w:r>
      </w:hyperlink>
      <w:r>
        <w:t xml:space="preserve"> Порядка, с нарушением требований к их оформлению, указанных </w:t>
      </w:r>
      <w:hyperlink w:anchor="P35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359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364" w:history="1">
        <w:r>
          <w:rPr>
            <w:color w:val="0000FF"/>
          </w:rPr>
          <w:t>девятым подпункта 2.1.1 пункта 2.1</w:t>
        </w:r>
      </w:hyperlink>
      <w:r>
        <w:t xml:space="preserve"> Порядка, </w:t>
      </w:r>
      <w:hyperlink w:anchor="P36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368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372" w:history="1">
        <w:r>
          <w:rPr>
            <w:color w:val="0000FF"/>
          </w:rPr>
          <w:t>восьмым подпункта 2.1.2 пункта 2.1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Получателем информации;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313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340" w:history="1">
        <w:r>
          <w:rPr>
            <w:color w:val="0000FF"/>
          </w:rPr>
          <w:t>1.7</w:t>
        </w:r>
      </w:hyperlink>
      <w:r>
        <w:t xml:space="preserve">, </w:t>
      </w:r>
      <w:hyperlink w:anchor="P347" w:history="1">
        <w:r>
          <w:rPr>
            <w:color w:val="0000FF"/>
          </w:rPr>
          <w:t>1.8</w:t>
        </w:r>
      </w:hyperlink>
      <w:r>
        <w:t xml:space="preserve"> Порядка и (или) целей предоставления субсидии направлениям, установленным </w:t>
      </w:r>
      <w:hyperlink w:anchor="P309" w:history="1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представление Соглашения с нарушением установленной формы;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представление Получателем объемов и видов реализованной продукции, указанных в </w:t>
      </w:r>
      <w:hyperlink w:anchor="P325" w:history="1">
        <w:r>
          <w:rPr>
            <w:color w:val="0000FF"/>
          </w:rPr>
          <w:t>пункте 1.5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срок действия договора аренды в отношении берегового производственного объекта менее 5 лет, а в отношении объектов муниципальной собственности - менее 3 лет.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2.12. В случае отсутствия оснований, предусмотренных в </w:t>
      </w:r>
      <w:hyperlink w:anchor="P410" w:history="1">
        <w:r>
          <w:rPr>
            <w:color w:val="0000FF"/>
          </w:rPr>
          <w:t>пункте 2.11</w:t>
        </w:r>
      </w:hyperlink>
      <w: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III. Правила возврата субсидии в случае нарушения условий,</w:t>
      </w:r>
    </w:p>
    <w:p w:rsidR="002300C0" w:rsidRDefault="002300C0" w:rsidP="002300C0">
      <w:pPr>
        <w:pStyle w:val="ConsPlusNormal"/>
        <w:jc w:val="center"/>
      </w:pPr>
      <w:r>
        <w:t>установленных при ее предоставлении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bookmarkStart w:id="15" w:name="P433"/>
      <w:bookmarkEnd w:id="15"/>
      <w: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3.1.1. Уполномоченный орган в течение 5 рабочих дней с даты выявления нарушения, указанного в </w:t>
      </w:r>
      <w:hyperlink w:anchor="P433" w:history="1">
        <w:r>
          <w:rPr>
            <w:color w:val="0000FF"/>
          </w:rPr>
          <w:t>пункте 3.1</w:t>
        </w:r>
      </w:hyperlink>
      <w: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3.1.2. Получатель в течение 30 рабочих дней со дня получения уведомления обязан выполнить требования, указанные в нем.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3.2.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установленных Соглашением: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3.2.2. При неоплате Получателем начисленного штрафа в установленный требованием </w:t>
      </w:r>
      <w:proofErr w:type="gramStart"/>
      <w:r>
        <w:t>срок</w:t>
      </w:r>
      <w:proofErr w:type="gramEnd"/>
      <w:r>
        <w:t xml:space="preserve"> Уполномоченный орган обращается в суд в соответствии с законодательством Российской Федерации.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right"/>
      </w:pPr>
      <w:r>
        <w:t>Приложение 19</w:t>
      </w:r>
    </w:p>
    <w:p w:rsidR="002300C0" w:rsidRDefault="002300C0" w:rsidP="002300C0">
      <w:pPr>
        <w:pStyle w:val="ConsPlusNormal"/>
        <w:jc w:val="right"/>
      </w:pPr>
      <w:r>
        <w:t>к постановлению Правительства</w:t>
      </w:r>
    </w:p>
    <w:p w:rsidR="002300C0" w:rsidRDefault="002300C0" w:rsidP="002300C0">
      <w:pPr>
        <w:pStyle w:val="ConsPlusNormal"/>
        <w:jc w:val="right"/>
      </w:pPr>
      <w:r>
        <w:t>Ханты-Мансийского</w:t>
      </w:r>
    </w:p>
    <w:p w:rsidR="002300C0" w:rsidRDefault="002300C0" w:rsidP="002300C0">
      <w:pPr>
        <w:pStyle w:val="ConsPlusNormal"/>
        <w:jc w:val="right"/>
      </w:pPr>
      <w:r>
        <w:t>автономного округа - Югры</w:t>
      </w:r>
    </w:p>
    <w:p w:rsidR="002300C0" w:rsidRDefault="002300C0" w:rsidP="002300C0">
      <w:pPr>
        <w:pStyle w:val="ConsPlusNormal"/>
        <w:jc w:val="right"/>
      </w:pPr>
      <w:r>
        <w:t>от 5 октября 2018 года N 344-п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ПОРЯДОК</w:t>
      </w:r>
    </w:p>
    <w:p w:rsidR="002300C0" w:rsidRDefault="002300C0" w:rsidP="002300C0">
      <w:pPr>
        <w:pStyle w:val="ConsPlusNormal"/>
        <w:jc w:val="center"/>
      </w:pPr>
      <w:r>
        <w:t>РАСЧЕТА И ПРЕДОСТАВЛЕНИЯ СУБСИДИИ НА ПОДДЕРЖКУ МАЛЫХ ФОРМ</w:t>
      </w:r>
    </w:p>
    <w:p w:rsidR="002300C0" w:rsidRDefault="002300C0" w:rsidP="002300C0">
      <w:pPr>
        <w:pStyle w:val="ConsPlusNormal"/>
        <w:jc w:val="center"/>
      </w:pPr>
      <w:r>
        <w:t>ХОЗЯЙСТВОВАНИЯ, НА РАЗВИТИЕ МАТЕРИАЛЬНО-ТЕХНИЧЕСКОЙ БАЗЫ (ЗА</w:t>
      </w:r>
    </w:p>
    <w:p w:rsidR="002300C0" w:rsidRDefault="002300C0" w:rsidP="002300C0">
      <w:pPr>
        <w:pStyle w:val="ConsPlusNormal"/>
        <w:jc w:val="center"/>
      </w:pPr>
      <w:r>
        <w:t>ИСКЛЮЧЕНИЕМ ЛИЧНЫХ ПОДСОБНЫХ ХОЗЯЙСТВ) (ДАЛЕЕ - ПОРЯДОК)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I. Условия предоставления и размер субсидии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r>
        <w:t>1.1. Порядок определяет правила расчета и предоставления субсидии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подпрограммы 2 "Развитие отрасли животноводства"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автономного округа.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6" w:name="P461"/>
      <w:bookmarkEnd w:id="16"/>
      <w: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(недополученных доходов) по следующим направлениям: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7" w:name="P462"/>
      <w:bookmarkEnd w:id="17"/>
      <w: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8" w:name="P463"/>
      <w:bookmarkEnd w:id="18"/>
      <w:r>
        <w:t xml:space="preserve"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</w:t>
      </w:r>
      <w:r>
        <w:lastRenderedPageBreak/>
        <w:t>энергосберегающих, ресурсосберегающих и передовых технологий;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19" w:name="P469"/>
      <w:bookmarkEnd w:id="19"/>
      <w:r>
        <w:t>1.3. Субсидия предоставляется сельскохозяйственным товаропроизводителям: 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(далее - Получатели).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Юридическим лицам - оленеводческим организациям независимо от организационно-правовых форм субсидии предоставляются на приобретение мобильных высокотехнологичных убойных пунктов с целью сбора эндокринно-ферментного и специального сырья при убое оленей.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 целях реализации Порядка к возмещению относятся затраты за текущий финансовый год, отчетный финансовый год и год, предшествующий отчетному финансовому году.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 целях предоставления субсидии применяются следующие понятия: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</w:t>
      </w:r>
      <w:r>
        <w:lastRenderedPageBreak/>
        <w:t>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общая полезная площадь - не менее 650 метров квадратных (для животноводческих объектов и теплиц круглогодичного выращивания овощных и зеленных культур);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поения и кормления сельскохозяйственных животных, уборки навоза (для животноводческих объектов, за исключением объектов по содержанию мелкого рогатого скота),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зеленных культур);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вместимость не менее 50 тонн продукции (для овощехранилищ (картофелехранилищ)).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общая полезная площадь - не менее 150 метров квадратных;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Мобильный высокотехнологичный убойный пункт с целью сбора эндокринно-ферментного и специального сырья при убое оленей: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оборудования для сбора и хранения эндокринно-ферментного и специального сырья.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Модернизация - комплекс мероприятий, предусматривающий обновление функционально </w:t>
      </w:r>
      <w:r>
        <w:lastRenderedPageBreak/>
        <w:t>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 wp14:anchorId="08B75591" wp14:editId="7C5A549E">
            <wp:extent cx="1143000" cy="428625"/>
            <wp:effectExtent l="0" t="0" r="0" b="9525"/>
            <wp:docPr id="3" name="Рисунок 3" descr="base_24478_20272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02723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Vis</w:t>
      </w:r>
      <w:proofErr w:type="spellEnd"/>
      <w: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Vмоs</w:t>
      </w:r>
      <w:proofErr w:type="spellEnd"/>
      <w:r>
        <w:t xml:space="preserve">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субсидии,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 должны получать средства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461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0" w:name="P505"/>
      <w:bookmarkEnd w:id="20"/>
      <w:r>
        <w:t>1.5. Критерии отбора Получателей: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осуществление Получателем деятельности в автономном округе 12 и более месяцев;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наличие поголовья сельскохозяйственных животных.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t>II. Правила предоставления субсидии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bookmarkStart w:id="21" w:name="P512"/>
      <w:bookmarkEnd w:id="21"/>
      <w: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Получатели представляют в Уполномоченный орган до 10 декабря текущего финансового года: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2" w:name="P515"/>
      <w:bookmarkEnd w:id="22"/>
      <w:r>
        <w:t>2.1.1.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а) при выполнении работ подрядным способом: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3" w:name="P517"/>
      <w:bookmarkEnd w:id="23"/>
      <w:r>
        <w:t>заявление о предоставлении субсидии по форме, установленной Уполномоченным органом;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4" w:name="P520"/>
      <w:bookmarkEnd w:id="24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договоров на выполнение проектно-изыскательских работ, строительно-монтажных работ;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проектно-сметной документации;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актов о приемке выполненных работ (форма КС-2);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справок о стоимости выполненных работ и затрат (форма КС-3);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5" w:name="P529"/>
      <w:bookmarkEnd w:id="25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б) при выполнении работ собственными силами: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6" w:name="P531"/>
      <w:bookmarkEnd w:id="26"/>
      <w:r>
        <w:t>заявление о предоставлении субсидии по форме, установленной Уполномоченным органом;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7" w:name="P534"/>
      <w:bookmarkEnd w:id="27"/>
      <w:r>
        <w:lastRenderedPageBreak/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8" w:name="P537"/>
      <w:bookmarkEnd w:id="28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29" w:name="P538"/>
      <w:bookmarkEnd w:id="29"/>
      <w: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0" w:name="P539"/>
      <w:bookmarkEnd w:id="30"/>
      <w:r>
        <w:t>заявление о предоставлении субсидии по форме, установленной Уполномоченным органом;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формам, установленным Департаментом (при наличии поголовья сельскохозяйственных животных и (или) птицы);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1" w:name="P542"/>
      <w:bookmarkEnd w:id="31"/>
      <w:r>
        <w:t>справку об отсутствии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паспорта транспортного средства (при наличии);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копию свидетельства о регистрации транспортного средства (при наличии).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2" w:name="P547"/>
      <w:bookmarkEnd w:id="32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</w:t>
      </w:r>
      <w:r>
        <w:lastRenderedPageBreak/>
        <w:t xml:space="preserve">заявления о предоставлении субсидии и прилагаемых к нему документов, указанных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 (далее - документы).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документов, не предусмотренных Порядком, не допускается.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2.4. Документы, предусмотренные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</w:t>
      </w:r>
      <w:r>
        <w:lastRenderedPageBreak/>
        <w:t>прилагается к представленным документам);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2) в электронной форме - с использованием Портала.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 в соответствии с </w:t>
      </w:r>
      <w:hyperlink w:anchor="P4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463" w:history="1">
        <w:r>
          <w:rPr>
            <w:color w:val="0000FF"/>
          </w:rPr>
          <w:t>третьим пункта 1.2</w:t>
        </w:r>
      </w:hyperlink>
      <w:r>
        <w:t xml:space="preserve"> Порядка);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 на цели, указанные в </w:t>
      </w:r>
      <w:hyperlink w:anchor="P461" w:history="1">
        <w:r>
          <w:rPr>
            <w:color w:val="0000FF"/>
          </w:rPr>
          <w:t>пункте 1.2</w:t>
        </w:r>
      </w:hyperlink>
      <w:r>
        <w:t xml:space="preserve"> Порядка (в органе местного самоуправления муниципального образования автономного округа);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4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463" w:history="1">
        <w:r>
          <w:rPr>
            <w:color w:val="0000FF"/>
          </w:rPr>
          <w:t>третьим пункта 1.2</w:t>
        </w:r>
      </w:hyperlink>
      <w:r>
        <w:t xml:space="preserve">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2.6. Уполномоченный орган в течение 10 рабочих дней с даты регистрации документов, указанных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46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505" w:history="1">
        <w:r>
          <w:rPr>
            <w:color w:val="0000FF"/>
          </w:rPr>
          <w:t>1.5</w:t>
        </w:r>
      </w:hyperlink>
      <w:r>
        <w:t xml:space="preserve"> Порядка.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3" w:name="P573"/>
      <w:bookmarkEnd w:id="33"/>
      <w: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4" w:name="P574"/>
      <w:bookmarkEnd w:id="34"/>
      <w: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2.9. Соглашение должно содержать следующие положения: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значения показателей результативности;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план контрольных мероприятий;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расчет размера штрафных санкций.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bookmarkStart w:id="35" w:name="P586"/>
      <w:bookmarkEnd w:id="35"/>
      <w:r>
        <w:t>2.11. Основаниями для отказа в предоставлении субсидии являются: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представление Соглашения с нарушением установленной формы;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lastRenderedPageBreak/>
        <w:t xml:space="preserve">нарушение Получателем срока представления в Уполномоченный орган подписанного Соглашения, установленного </w:t>
      </w:r>
      <w:hyperlink w:anchor="P574" w:history="1">
        <w:r>
          <w:rPr>
            <w:color w:val="0000FF"/>
          </w:rPr>
          <w:t>абзацем вторым пункта 2.7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 (представление не полном объеме), указанных в </w:t>
      </w:r>
      <w:hyperlink w:anchor="P51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38" w:history="1">
        <w:r>
          <w:rPr>
            <w:color w:val="0000FF"/>
          </w:rPr>
          <w:t>2.1.2 пункта 2.1</w:t>
        </w:r>
      </w:hyperlink>
      <w:r>
        <w:t xml:space="preserve">, </w:t>
      </w:r>
      <w:hyperlink w:anchor="P573" w:history="1">
        <w:r>
          <w:rPr>
            <w:color w:val="0000FF"/>
          </w:rPr>
          <w:t>2.7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 к их оформлению, в соответствии с </w:t>
      </w:r>
      <w:hyperlink w:anchor="P517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520" w:history="1">
        <w:r>
          <w:rPr>
            <w:color w:val="0000FF"/>
          </w:rPr>
          <w:t>шестым</w:t>
        </w:r>
      </w:hyperlink>
      <w:r>
        <w:t xml:space="preserve">, </w:t>
      </w:r>
      <w:hyperlink w:anchor="P529" w:history="1">
        <w:r>
          <w:rPr>
            <w:color w:val="0000FF"/>
          </w:rPr>
          <w:t>пятнадцатым</w:t>
        </w:r>
      </w:hyperlink>
      <w:r>
        <w:t xml:space="preserve">, </w:t>
      </w:r>
      <w:hyperlink w:anchor="P531" w:history="1">
        <w:r>
          <w:rPr>
            <w:color w:val="0000FF"/>
          </w:rPr>
          <w:t>семнадцатым</w:t>
        </w:r>
      </w:hyperlink>
      <w:r>
        <w:t xml:space="preserve"> - </w:t>
      </w:r>
      <w:hyperlink w:anchor="P534" w:history="1">
        <w:r>
          <w:rPr>
            <w:color w:val="0000FF"/>
          </w:rPr>
          <w:t>двадцатым</w:t>
        </w:r>
      </w:hyperlink>
      <w:r>
        <w:t xml:space="preserve">, </w:t>
      </w:r>
      <w:hyperlink w:anchor="P537" w:history="1">
        <w:r>
          <w:rPr>
            <w:color w:val="0000FF"/>
          </w:rPr>
          <w:t>двадцать третьим подпункта 2.1.1 пункта 2.1</w:t>
        </w:r>
      </w:hyperlink>
      <w:r>
        <w:t xml:space="preserve"> Порядка, </w:t>
      </w:r>
      <w:hyperlink w:anchor="P53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542" w:history="1">
        <w:r>
          <w:rPr>
            <w:color w:val="0000FF"/>
          </w:rPr>
          <w:t>пятым</w:t>
        </w:r>
      </w:hyperlink>
      <w:r>
        <w:t xml:space="preserve">, </w:t>
      </w:r>
      <w:hyperlink w:anchor="P547" w:history="1">
        <w:r>
          <w:rPr>
            <w:color w:val="0000FF"/>
          </w:rPr>
          <w:t>десятым подпункта 2.1.2 пункта 2.1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информации;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46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505" w:history="1">
        <w:r>
          <w:rPr>
            <w:color w:val="0000FF"/>
          </w:rPr>
          <w:t>1.5</w:t>
        </w:r>
      </w:hyperlink>
      <w:r>
        <w:t xml:space="preserve"> Порядка, несоответствие предоставленной субсидии направлениям, установленным </w:t>
      </w:r>
      <w:hyperlink w:anchor="P461" w:history="1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2.12. В случае отсутствия оснований, предусмотренных в </w:t>
      </w:r>
      <w:hyperlink w:anchor="P586" w:history="1">
        <w:r>
          <w:rPr>
            <w:color w:val="0000FF"/>
          </w:rPr>
          <w:t>пункте 2.11</w:t>
        </w:r>
      </w:hyperlink>
      <w: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установленный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сроки и формы представления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center"/>
      </w:pPr>
      <w:r>
        <w:lastRenderedPageBreak/>
        <w:t>III. Правила возврата субсидии в случае нарушения условий,</w:t>
      </w:r>
    </w:p>
    <w:p w:rsidR="002300C0" w:rsidRDefault="002300C0" w:rsidP="002300C0">
      <w:pPr>
        <w:pStyle w:val="ConsPlusNormal"/>
        <w:jc w:val="center"/>
      </w:pPr>
      <w:r>
        <w:t>установленных при ее предоставлении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ind w:firstLine="540"/>
        <w:jc w:val="both"/>
      </w:pPr>
      <w:bookmarkStart w:id="36" w:name="P609"/>
      <w:bookmarkEnd w:id="36"/>
      <w: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3.1.1. Уполномоченный орган в течение 5 рабочих дней с даты выявления нарушения, указанного в </w:t>
      </w:r>
      <w:hyperlink w:anchor="P609" w:history="1">
        <w:r>
          <w:rPr>
            <w:color w:val="0000FF"/>
          </w:rPr>
          <w:t>пункте 3.1</w:t>
        </w:r>
      </w:hyperlink>
      <w: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 xml:space="preserve">3.2.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установленных Соглашением: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2300C0" w:rsidRDefault="002300C0" w:rsidP="002300C0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</w:p>
    <w:p w:rsidR="002300C0" w:rsidRDefault="002300C0" w:rsidP="002300C0">
      <w:pPr>
        <w:pStyle w:val="ConsPlusNormal"/>
        <w:jc w:val="both"/>
      </w:pPr>
      <w:bookmarkStart w:id="37" w:name="_GoBack"/>
      <w:bookmarkEnd w:id="37"/>
    </w:p>
    <w:sectPr w:rsidR="0023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3"/>
    <w:rsid w:val="000E03C3"/>
    <w:rsid w:val="002300C0"/>
    <w:rsid w:val="00A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E0CE-7B89-4A30-BB2F-AF3575D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3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3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18DB30DEDD3FE214DD59AE863B5E864C41A0947D77F9FC08625A9AF25fC6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69C705C274092AFC64C7FCB7B195F08FB002ECD3FE214DD59AE863B5E864C41A0947D77F9FC08625A9AF25fC6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69C705C274092AFC64C7FCB7B195F18CB101EED0FE214DD59AE863B5E864C41A0947D77F9FC08625A9AF25fC6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FD69C705C274092AFC64C7FCB7B195F18CB101EED0FE214DD59AE863B5E864C41A0947D77F9FC08625A9AF25fC68G" TargetMode="External"/><Relationship Id="rId10" Type="http://schemas.openxmlformats.org/officeDocument/2006/relationships/hyperlink" Target="consultantplus://offline/ref=B7FD69C705C274092AFC64C7FCB7B195F18CB101EED0FE214DD59AE863B5E864C41A0947D77F9FC08625A9AF25fC68G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9459</Words>
  <Characters>53917</Characters>
  <Application>Microsoft Office Word</Application>
  <DocSecurity>0</DocSecurity>
  <Lines>449</Lines>
  <Paragraphs>126</Paragraphs>
  <ScaleCrop>false</ScaleCrop>
  <Company/>
  <LinksUpToDate>false</LinksUpToDate>
  <CharactersWithSpaces>63250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3</cp:revision>
  <dcterms:created xsi:type="dcterms:W3CDTF">2020-02-14T09:35:00Z</dcterms:created>
  <dcterms:modified xsi:type="dcterms:W3CDTF">2020-02-14T09:41:00Z</dcterms:modified>
</cp:coreProperties>
</file>