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0" w:rsidRDefault="00EA1F70" w:rsidP="00EA1F70">
      <w:pPr>
        <w:pStyle w:val="ConsPlusNormal"/>
        <w:jc w:val="right"/>
      </w:pPr>
      <w:r>
        <w:t>Приложение 19</w:t>
      </w:r>
    </w:p>
    <w:p w:rsidR="00EA1F70" w:rsidRDefault="00EA1F70" w:rsidP="00EA1F70">
      <w:pPr>
        <w:pStyle w:val="ConsPlusNormal"/>
        <w:jc w:val="right"/>
      </w:pPr>
      <w:r>
        <w:t>к постановлению Правительства</w:t>
      </w:r>
    </w:p>
    <w:p w:rsidR="00EA1F70" w:rsidRDefault="00EA1F70" w:rsidP="00EA1F70">
      <w:pPr>
        <w:pStyle w:val="ConsPlusNormal"/>
        <w:jc w:val="right"/>
      </w:pPr>
      <w:r>
        <w:t>Ханты-Мансийского</w:t>
      </w:r>
    </w:p>
    <w:p w:rsidR="00EA1F70" w:rsidRDefault="00EA1F70" w:rsidP="00EA1F70">
      <w:pPr>
        <w:pStyle w:val="ConsPlusNormal"/>
        <w:jc w:val="right"/>
      </w:pPr>
      <w:r>
        <w:t>автономного округа - Югры</w:t>
      </w:r>
    </w:p>
    <w:p w:rsidR="00EA1F70" w:rsidRDefault="00EA1F70" w:rsidP="00EA1F70">
      <w:pPr>
        <w:pStyle w:val="ConsPlusNormal"/>
        <w:jc w:val="right"/>
      </w:pPr>
      <w:r>
        <w:t>от 5 октября 2018 года N 344-п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center"/>
      </w:pPr>
      <w:r>
        <w:t>ПОРЯДОК</w:t>
      </w:r>
    </w:p>
    <w:p w:rsidR="00EA1F70" w:rsidRDefault="00EA1F70" w:rsidP="00EA1F70">
      <w:pPr>
        <w:pStyle w:val="ConsPlusNormal"/>
        <w:jc w:val="center"/>
      </w:pPr>
      <w:r>
        <w:t>РАСЧЕТА И ПРЕДОСТАВЛЕНИЯ СУБСИДИИ НА ПОДДЕРЖКУ МАЛЫХ ФОРМ</w:t>
      </w:r>
    </w:p>
    <w:p w:rsidR="00EA1F70" w:rsidRDefault="00EA1F70" w:rsidP="00EA1F70">
      <w:pPr>
        <w:pStyle w:val="ConsPlusNormal"/>
        <w:jc w:val="center"/>
      </w:pPr>
      <w:r>
        <w:t>ХОЗЯЙСТВОВАНИЯ, НА РАЗВИТИЕ МАТЕРИАЛЬНО-ТЕХНИЧЕСКОЙ БАЗЫ (ЗА</w:t>
      </w:r>
    </w:p>
    <w:p w:rsidR="00EA1F70" w:rsidRDefault="00EA1F70" w:rsidP="00EA1F70">
      <w:pPr>
        <w:pStyle w:val="ConsPlusNormal"/>
        <w:jc w:val="center"/>
      </w:pPr>
      <w:r>
        <w:t>ИСКЛЮЧЕНИЕМ ЛИЧНЫХ ПОДСОБНЫХ ХОЗЯЙСТВ) (ДАЛЕЕ - ПОРЯДОК)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center"/>
      </w:pPr>
      <w:r>
        <w:t>I. Условия предоставления и размер субсидии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ind w:firstLine="540"/>
        <w:jc w:val="both"/>
      </w:pPr>
      <w:r>
        <w:t>1.1. Порядок определяет правила расчета и предоставления субсидии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подпрограммы 2 "Развитие отрасли животноводства"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автономного округа.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0" w:name="P461"/>
      <w:bookmarkEnd w:id="0"/>
      <w: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(недополученных доходов) по следующим направлениям: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" w:name="P462"/>
      <w:bookmarkEnd w:id="1"/>
      <w: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2" w:name="P463"/>
      <w:bookmarkEnd w:id="2"/>
      <w: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</w:t>
      </w:r>
      <w:r>
        <w:lastRenderedPageBreak/>
        <w:t>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3" w:name="P469"/>
      <w:bookmarkEnd w:id="3"/>
      <w:r>
        <w:t>1.3. Субсидия предоставляется сельскохозяйственным товаропроизводителям: 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(далее - Получатели).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Юридическим лицам - оленеводческим организациям независимо от организационно-правовых форм субсидии предоставляются на приобретение мобильных высокотехнологичных убойных пунктов с целью сбора эндокринно-ферментного и специального сырья при убое оленей.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В целях реализации Порядка к возмещению относятся затраты за текущий финансовый год, отчетный финансовый год и год, предшествующий отчетному финансовому году.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В целях предоставления субсидии применяются следующие понятия: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общая полезная площадь - не менее 650 метров квадратных (для животноводческих объектов и теплиц круглогодичного выращивания овощных и зеленных культур);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поения и кормления сельскохозяйственных животных, уборки навоза (для животноводческих объектов, за исключением объектов по содержанию мелкого рогатого скота),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зеленных культур);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вместимость не менее 50 тонн продукции (для овощехранилищ (картофелехранилищ)).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lastRenderedPageBreak/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общая полезная площадь - не менее 150 метров квадратных;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Мобильный высокотехнологичный убойный пункт с целью сбора эндокринно-ферментного и специального сырья при убое оленей: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оборудования для сбора и хранения эндокринно-ферментного и специального сырья.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143000" cy="428625"/>
            <wp:effectExtent l="0" t="0" r="0" b="9525"/>
            <wp:docPr id="1" name="Рисунок 1" descr="base_24478_20272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02723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proofErr w:type="spellStart"/>
      <w:r>
        <w:t>Vis</w:t>
      </w:r>
      <w:proofErr w:type="spellEnd"/>
      <w: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proofErr w:type="spellStart"/>
      <w:r>
        <w:t>Vмоs</w:t>
      </w:r>
      <w:proofErr w:type="spellEnd"/>
      <w:r>
        <w:t xml:space="preserve">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Субсидия предоставляется в размере 50 процентов от произведенных фактических затрат, но </w:t>
      </w:r>
      <w:r>
        <w:lastRenderedPageBreak/>
        <w:t>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субсидии,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не должны получать средства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461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4" w:name="P505"/>
      <w:bookmarkEnd w:id="4"/>
      <w:r>
        <w:t>1.5. Критерии отбора Получателей: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осуществление Получателем деятельности в автономном округе 12 и более месяцев;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наличие поголовья сельскохозяйственных животных.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center"/>
      </w:pPr>
      <w:r>
        <w:lastRenderedPageBreak/>
        <w:t>II. Правила предоставления субсидии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ind w:firstLine="540"/>
        <w:jc w:val="both"/>
      </w:pPr>
      <w:bookmarkStart w:id="5" w:name="P512"/>
      <w:bookmarkEnd w:id="5"/>
      <w: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Получатели представляют в Уполномоченный орган до 10 декабря текущего финансового года: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6" w:name="P515"/>
      <w:bookmarkEnd w:id="6"/>
      <w:r>
        <w:t>2.1.1.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а) при выполнении работ подрядным способом: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7" w:name="P517"/>
      <w:bookmarkEnd w:id="7"/>
      <w:r>
        <w:t>заявление о предоставлении субсидии по форме, установленной Уполномоченным органом;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8" w:name="P520"/>
      <w:bookmarkEnd w:id="8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договоров на выполнение проектно-изыскательских работ, строительно-монтажных работ;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копию проектно-сметной документации;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актов о приемке выполненных работ (форма КС-2);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справок о стоимости выполненных работ и затрат (форма КС-3);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</w:t>
      </w:r>
      <w:r>
        <w:lastRenderedPageBreak/>
        <w:t>производство и (или) переработку сельскохозяйственной продукции, с допуском к видам выполненных работ;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9" w:name="P529"/>
      <w:bookmarkEnd w:id="9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б) при выполнении работ собственными силами: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0" w:name="P531"/>
      <w:bookmarkEnd w:id="10"/>
      <w:r>
        <w:t>заявление о предоставлении субсидии по форме, установленной Уполномоченным органом;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1" w:name="P534"/>
      <w:bookmarkEnd w:id="11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2" w:name="P537"/>
      <w:bookmarkEnd w:id="12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3" w:name="P538"/>
      <w:bookmarkEnd w:id="13"/>
      <w: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4" w:name="P539"/>
      <w:bookmarkEnd w:id="14"/>
      <w:r>
        <w:t>заявление о предоставлении субсидии по форме, установленной Уполномоченным органом;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справку-расчет субсидии на поддержку малых форм хозяйствования, на развитие </w:t>
      </w:r>
      <w:r>
        <w:lastRenderedPageBreak/>
        <w:t>материально-технической базы (за исключением личных подсобных хозяйств) по форме, установленной Департаментом;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формам, установленным Департаментом (при наличии поголовья сельскохозяйственных животных и (или) птицы);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5" w:name="P542"/>
      <w:bookmarkEnd w:id="15"/>
      <w:r>
        <w:t>справку об отсутствии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копию паспорта транспортного средства (при наличии);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копию свидетельства о регистрации транспортного средства (при наличии).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6" w:name="P547"/>
      <w:bookmarkEnd w:id="16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 (далее - документы).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</w:t>
      </w:r>
      <w:r>
        <w:lastRenderedPageBreak/>
        <w:t>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документов, не предусмотренных Порядком, не допускается.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2.4. Документы, предусмотренные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2) в электронной форме - с использованием Портала.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 о правах отдельного лица на </w:t>
      </w:r>
      <w:r>
        <w:lastRenderedPageBreak/>
        <w:t xml:space="preserve">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 в соответствии с </w:t>
      </w:r>
      <w:hyperlink w:anchor="P4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463" w:history="1">
        <w:r>
          <w:rPr>
            <w:color w:val="0000FF"/>
          </w:rPr>
          <w:t>третьим пункта 1.2</w:t>
        </w:r>
      </w:hyperlink>
      <w:r>
        <w:t xml:space="preserve"> Порядка);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 на цели, указанные в </w:t>
      </w:r>
      <w:hyperlink w:anchor="P461" w:history="1">
        <w:r>
          <w:rPr>
            <w:color w:val="0000FF"/>
          </w:rPr>
          <w:t>пункте 1.2</w:t>
        </w:r>
      </w:hyperlink>
      <w:r>
        <w:t xml:space="preserve"> Порядка (в органе местного самоуправления муниципального образования автономного округа);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46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463" w:history="1">
        <w:r>
          <w:rPr>
            <w:color w:val="0000FF"/>
          </w:rPr>
          <w:t>третьим пункта 1.2</w:t>
        </w:r>
      </w:hyperlink>
      <w:r>
        <w:t xml:space="preserve">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2.6. Уполномоченный орган в течение 10 рабочих дней с даты регистрации документов, указанных в </w:t>
      </w:r>
      <w:hyperlink w:anchor="P512" w:history="1">
        <w:r>
          <w:rPr>
            <w:color w:val="0000FF"/>
          </w:rPr>
          <w:t>пункте 2.1</w:t>
        </w:r>
      </w:hyperlink>
      <w: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46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505" w:history="1">
        <w:r>
          <w:rPr>
            <w:color w:val="0000FF"/>
          </w:rPr>
          <w:t>1.5</w:t>
        </w:r>
      </w:hyperlink>
      <w:r>
        <w:t xml:space="preserve"> Порядка.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7" w:name="P573"/>
      <w:bookmarkEnd w:id="17"/>
      <w: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8" w:name="P574"/>
      <w:bookmarkEnd w:id="18"/>
      <w: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2.9. Соглашение должно содержать следующие положения: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значения показателей результативности;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согласие Получателя на осуществление Уполномоченным органом и (или) органами </w:t>
      </w:r>
      <w:r>
        <w:lastRenderedPageBreak/>
        <w:t>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план контрольных мероприятий;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расчет размера штрафных санкций.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bookmarkStart w:id="19" w:name="P586"/>
      <w:bookmarkEnd w:id="19"/>
      <w:r>
        <w:t>2.11. Основаниями для отказа в предоставлении субсидии являются: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представление Соглашения с нарушением установленной формы;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нарушение Получателем срока представления в Уполномоченный орган подписанного Соглашения, установленного </w:t>
      </w:r>
      <w:hyperlink w:anchor="P574" w:history="1">
        <w:r>
          <w:rPr>
            <w:color w:val="0000FF"/>
          </w:rPr>
          <w:t>абзацем вторым пункта 2.7</w:t>
        </w:r>
      </w:hyperlink>
      <w:r>
        <w:t xml:space="preserve"> Порядка;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добровольный письменный отказ Получателя от субсидии;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 (представление не полном объеме), указанных в </w:t>
      </w:r>
      <w:hyperlink w:anchor="P51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38" w:history="1">
        <w:r>
          <w:rPr>
            <w:color w:val="0000FF"/>
          </w:rPr>
          <w:t>2.1.2 пункта 2.1</w:t>
        </w:r>
      </w:hyperlink>
      <w:r>
        <w:t xml:space="preserve">, </w:t>
      </w:r>
      <w:hyperlink w:anchor="P573" w:history="1">
        <w:r>
          <w:rPr>
            <w:color w:val="0000FF"/>
          </w:rPr>
          <w:t>2.7</w:t>
        </w:r>
      </w:hyperlink>
      <w:r>
        <w:t xml:space="preserve"> Порядка;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 к их оформлению, в соответствии с </w:t>
      </w:r>
      <w:hyperlink w:anchor="P517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520" w:history="1">
        <w:r>
          <w:rPr>
            <w:color w:val="0000FF"/>
          </w:rPr>
          <w:t>шестым</w:t>
        </w:r>
      </w:hyperlink>
      <w:r>
        <w:t xml:space="preserve">, </w:t>
      </w:r>
      <w:hyperlink w:anchor="P529" w:history="1">
        <w:r>
          <w:rPr>
            <w:color w:val="0000FF"/>
          </w:rPr>
          <w:t>пятнадцатым</w:t>
        </w:r>
      </w:hyperlink>
      <w:r>
        <w:t xml:space="preserve">, </w:t>
      </w:r>
      <w:hyperlink w:anchor="P531" w:history="1">
        <w:r>
          <w:rPr>
            <w:color w:val="0000FF"/>
          </w:rPr>
          <w:t>семнадцатым</w:t>
        </w:r>
      </w:hyperlink>
      <w:r>
        <w:t xml:space="preserve"> - </w:t>
      </w:r>
      <w:hyperlink w:anchor="P534" w:history="1">
        <w:r>
          <w:rPr>
            <w:color w:val="0000FF"/>
          </w:rPr>
          <w:t>двадцатым</w:t>
        </w:r>
      </w:hyperlink>
      <w:r>
        <w:t xml:space="preserve">, </w:t>
      </w:r>
      <w:hyperlink w:anchor="P537" w:history="1">
        <w:r>
          <w:rPr>
            <w:color w:val="0000FF"/>
          </w:rPr>
          <w:t>двадцать третьим подпункта 2.1.1 пункта 2.1</w:t>
        </w:r>
      </w:hyperlink>
      <w:r>
        <w:t xml:space="preserve"> Порядка, </w:t>
      </w:r>
      <w:hyperlink w:anchor="P53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542" w:history="1">
        <w:r>
          <w:rPr>
            <w:color w:val="0000FF"/>
          </w:rPr>
          <w:t>пятым</w:t>
        </w:r>
      </w:hyperlink>
      <w:r>
        <w:t xml:space="preserve">, </w:t>
      </w:r>
      <w:hyperlink w:anchor="P547" w:history="1">
        <w:r>
          <w:rPr>
            <w:color w:val="0000FF"/>
          </w:rPr>
          <w:t>десятым подпункта 2.1.2 пункта 2.1</w:t>
        </w:r>
      </w:hyperlink>
      <w:r>
        <w:t xml:space="preserve"> Порядка;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информации;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469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505" w:history="1">
        <w:r>
          <w:rPr>
            <w:color w:val="0000FF"/>
          </w:rPr>
          <w:t>1.5</w:t>
        </w:r>
      </w:hyperlink>
      <w:r>
        <w:t xml:space="preserve"> Порядка, несоответствие предоставленной субсидии направлениям, установленным </w:t>
      </w:r>
      <w:hyperlink w:anchor="P461" w:history="1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</w:t>
      </w:r>
      <w:r>
        <w:lastRenderedPageBreak/>
        <w:t>отчетного финансового года;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2.12. В случае отсутствия оснований, предусмотренных в </w:t>
      </w:r>
      <w:hyperlink w:anchor="P586" w:history="1">
        <w:r>
          <w:rPr>
            <w:color w:val="0000FF"/>
          </w:rPr>
          <w:t>пункте 2.11</w:t>
        </w:r>
      </w:hyperlink>
      <w: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установленный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сроки и формы представления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center"/>
      </w:pPr>
      <w:r>
        <w:t>III. Правила возврата субсидии в случае нарушения условий,</w:t>
      </w:r>
    </w:p>
    <w:p w:rsidR="00EA1F70" w:rsidRDefault="00EA1F70" w:rsidP="00EA1F70">
      <w:pPr>
        <w:pStyle w:val="ConsPlusNormal"/>
        <w:jc w:val="center"/>
      </w:pPr>
      <w:r>
        <w:t>установленных при ее предоставлении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ind w:firstLine="540"/>
        <w:jc w:val="both"/>
      </w:pPr>
      <w:bookmarkStart w:id="20" w:name="P609"/>
      <w:bookmarkEnd w:id="20"/>
      <w: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3.1.1. Уполномоченный орган в течение 5 рабочих дней с даты выявления нарушения, указанного в </w:t>
      </w:r>
      <w:hyperlink w:anchor="P609" w:history="1">
        <w:r>
          <w:rPr>
            <w:color w:val="0000FF"/>
          </w:rPr>
          <w:t>пункте 3.1</w:t>
        </w:r>
      </w:hyperlink>
      <w: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3.2.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установленных Соглашением: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 xml:space="preserve">3.2.2. При неоплате Получателем начисленного штрафа в установленный требованием срок, </w:t>
      </w:r>
      <w:r>
        <w:lastRenderedPageBreak/>
        <w:t>Уполномоченный орган обращается в суд в соответствии с законодательством Российской Федерации.</w:t>
      </w:r>
    </w:p>
    <w:p w:rsidR="00EA1F70" w:rsidRDefault="00EA1F70" w:rsidP="00EA1F70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both"/>
      </w:pPr>
    </w:p>
    <w:p w:rsidR="00EA1F70" w:rsidRDefault="00EA1F70" w:rsidP="00EA1F70">
      <w:pPr>
        <w:pStyle w:val="ConsPlusNormal"/>
        <w:jc w:val="both"/>
      </w:pPr>
    </w:p>
    <w:p w:rsidR="00A473BE" w:rsidRDefault="00A473BE">
      <w:bookmarkStart w:id="21" w:name="_GoBack"/>
      <w:bookmarkEnd w:id="21"/>
    </w:p>
    <w:sectPr w:rsidR="00A4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5"/>
    <w:rsid w:val="003A3085"/>
    <w:rsid w:val="00A473BE"/>
    <w:rsid w:val="00E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F227-CAC3-487B-9849-273402D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69C705C274092AFC64C7FCB7B195F18CB101EED0FE214DD59AE863B5E864C41A0947D77F9FC08625A9AF25fC68G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B7FD69C705C274092AFC64C7FCB7B195F18DB30DEDD3FE214DD59AE863B5E864C41A0947D77F9FC08625A9AF25fC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5068</Words>
  <Characters>28890</Characters>
  <Application>Microsoft Office Word</Application>
  <DocSecurity>0</DocSecurity>
  <Lines>240</Lines>
  <Paragraphs>67</Paragraphs>
  <ScaleCrop>false</ScaleCrop>
  <Company/>
  <LinksUpToDate>false</LinksUpToDate>
  <CharactersWithSpaces>33891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2</cp:revision>
  <dcterms:created xsi:type="dcterms:W3CDTF">2020-02-14T09:38:00Z</dcterms:created>
  <dcterms:modified xsi:type="dcterms:W3CDTF">2020-02-14T09:39:00Z</dcterms:modified>
</cp:coreProperties>
</file>