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7B" w:rsidRPr="009A6D0A" w:rsidRDefault="009A6D0A" w:rsidP="009A6D0A">
      <w:pPr>
        <w:jc w:val="center"/>
        <w:rPr>
          <w:rFonts w:ascii="Times New Roman" w:hAnsi="Times New Roman"/>
          <w:b/>
          <w:sz w:val="28"/>
          <w:szCs w:val="28"/>
        </w:rPr>
      </w:pPr>
      <w:r w:rsidRPr="009A6D0A">
        <w:rPr>
          <w:rFonts w:ascii="Times New Roman" w:hAnsi="Times New Roman"/>
          <w:b/>
          <w:sz w:val="28"/>
          <w:szCs w:val="28"/>
        </w:rPr>
        <w:t>Информация о проведенной работе по заключению концессионного соглашения в отношении объектов ЖКК</w:t>
      </w:r>
    </w:p>
    <w:p w:rsidR="009A6D0A" w:rsidRDefault="009A6D0A"/>
    <w:p w:rsidR="009A6D0A" w:rsidRPr="00610A2F" w:rsidRDefault="009A6D0A" w:rsidP="009A6D0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В</w:t>
      </w:r>
      <w:r w:rsidRPr="00610A2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2014 году главой администрации города был утвержден График передачи в концессию объектов жилищно-коммунального хозяйства государственных и муниципальных предприятий, осуществляющих неэффективное управление, согласно которому заключение концессионного соглашения, в отношении систем тепло-, водоснабжения и водоотведения было запланировано на декабрь 2015 года. </w:t>
      </w:r>
    </w:p>
    <w:p w:rsidR="009A6D0A" w:rsidRPr="00610A2F" w:rsidRDefault="009A6D0A" w:rsidP="009A6D0A">
      <w:pPr>
        <w:shd w:val="clear" w:color="auto" w:fill="FEFEFE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610A2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ab/>
        <w:t xml:space="preserve">При организации подготовительных работ по передаче объектов ЖКХ в концессию муниципалитет столкнулся с проблемой, связанной с наличием кредитных обязательств у МУП «УГХ» перед Европейским банком реконструкции и развития. Объявление конкурса на передачу объектов жилищно-коммунального хозяйства стало возможным после закрытия кредитной линии в целом. До объявления конкурсов администрация города вела переговоры о возможности передачи объектов ЖКХ в концессию с компаниями </w:t>
      </w:r>
      <w:proofErr w:type="spellStart"/>
      <w:r w:rsidRPr="00610A2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Росводоканал</w:t>
      </w:r>
      <w:proofErr w:type="spellEnd"/>
      <w:r w:rsidRPr="00610A2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«Российские коммунальные системы», в адреса данных компаний были направлены исходные данные по муниципальному предприятию. </w:t>
      </w:r>
    </w:p>
    <w:p w:rsidR="009A6D0A" w:rsidRPr="00610A2F" w:rsidRDefault="009A6D0A" w:rsidP="009A6D0A">
      <w:pPr>
        <w:shd w:val="clear" w:color="auto" w:fill="FEFEFE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610A2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ab/>
        <w:t>В декабре 2015 года администрацией города были объявлены конкурсы на передачу в концессию объектов теплоснабжения и систем водоснабжения и водоотведения. Конкурсы признаны несостоявшимися. (Заявки поступили от ООО «Промышленные информационные технологии» (по водоснабжению и водоотведению) и ООО «</w:t>
      </w:r>
      <w:proofErr w:type="spellStart"/>
      <w:r w:rsidRPr="00610A2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Концесском</w:t>
      </w:r>
      <w:proofErr w:type="spellEnd"/>
      <w:r w:rsidRPr="00610A2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» (по теплоснабжению). </w:t>
      </w:r>
    </w:p>
    <w:p w:rsidR="009A6D0A" w:rsidRPr="00610A2F" w:rsidRDefault="009A6D0A" w:rsidP="009A6D0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610A2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После корректировки конкурсной документации в 2016 году администрацией города повторно были объявлены открытые конкурсы на передачу объектов ЖКХ в концессию (двумя лотами) на каждый из лотов поступило по одной заявке от ООО «</w:t>
      </w:r>
      <w:proofErr w:type="spellStart"/>
      <w:r w:rsidRPr="00610A2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Ко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нцесском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». Конкурсы признаны не</w:t>
      </w:r>
      <w:r w:rsidRPr="00610A2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состоявшимися.</w:t>
      </w:r>
    </w:p>
    <w:p w:rsidR="009A6D0A" w:rsidRPr="00610A2F" w:rsidRDefault="009A6D0A" w:rsidP="009A6D0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610A2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В целях развития государственного частного партнерства в сфере ЖКХ в декабре 2016 года администрацией города проведена рабочая встреча с представителями Уральской водной компании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(далее-УВК)</w:t>
      </w:r>
      <w:r w:rsidRPr="00610A2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 которой был рассмотрен вопрос о возможности заключения концессионного соглашения в порядке частной инициативы. По итогам переговоров в мае 2017 года поступило предложение 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УВК</w:t>
      </w:r>
      <w:r w:rsidRPr="00610A2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 заключении концессионного соглашения в отношении систем тепло-, водоснабжения и водоотведения. Представленное предложение содержало в себе условия существенным образом нарушающие интересы города, а именно: предусматривало большой объем доли </w:t>
      </w:r>
      <w:proofErr w:type="spellStart"/>
      <w:r w:rsidRPr="00610A2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софинансирования</w:t>
      </w:r>
      <w:bookmarkStart w:id="0" w:name="_GoBack"/>
      <w:bookmarkEnd w:id="0"/>
      <w:proofErr w:type="spellEnd"/>
      <w:r w:rsidRPr="00610A2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610A2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концедента</w:t>
      </w:r>
      <w:proofErr w:type="spellEnd"/>
      <w:r w:rsidRPr="00610A2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который фактически отсутствует в городском бюджете, а также потенциальный концессионер возложил всю ответственность за возможные риски на плечи муниципального образования. </w:t>
      </w:r>
    </w:p>
    <w:p w:rsidR="009A6D0A" w:rsidRPr="00610A2F" w:rsidRDefault="009A6D0A" w:rsidP="009A6D0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610A2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До конца 2017 года проведено несколько рабочих встреч с представителями УВК, договоренность достигнута не была.</w:t>
      </w:r>
    </w:p>
    <w:p w:rsidR="009A6D0A" w:rsidRPr="00610A2F" w:rsidRDefault="009A6D0A" w:rsidP="009A6D0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610A2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 январе 2018 года от 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УВК</w:t>
      </w:r>
      <w:r w:rsidRPr="00610A2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поступило предложение о заключении концессионного соглашения в отношении систем водоснабжения. Предложение отклонено, в связи с кабальными условиями для </w:t>
      </w:r>
      <w:proofErr w:type="spellStart"/>
      <w:r w:rsidRPr="00610A2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концендента</w:t>
      </w:r>
      <w:proofErr w:type="spellEnd"/>
      <w:r w:rsidRPr="00610A2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9A6D0A" w:rsidRDefault="009A6D0A" w:rsidP="009A6D0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целях объявления конкурса на право заключения концессионного соглашения </w:t>
      </w:r>
      <w:r w:rsidRPr="000931B7">
        <w:rPr>
          <w:sz w:val="26"/>
          <w:szCs w:val="26"/>
        </w:rPr>
        <w:t>26.12.2018 года заключен муниципальный контракт</w:t>
      </w:r>
      <w:r>
        <w:rPr>
          <w:sz w:val="26"/>
          <w:szCs w:val="26"/>
        </w:rPr>
        <w:t xml:space="preserve"> № 01873000194180003550355 на оказание услуг по разработке проекта и условий концессионного соглашения с ООО «Объединение </w:t>
      </w:r>
      <w:proofErr w:type="spellStart"/>
      <w:r>
        <w:rPr>
          <w:sz w:val="26"/>
          <w:szCs w:val="26"/>
        </w:rPr>
        <w:t>энергоменеджмента</w:t>
      </w:r>
      <w:proofErr w:type="spellEnd"/>
      <w:r>
        <w:rPr>
          <w:sz w:val="26"/>
          <w:szCs w:val="26"/>
        </w:rPr>
        <w:t>».</w:t>
      </w:r>
    </w:p>
    <w:p w:rsidR="009A6D0A" w:rsidRPr="00610A2F" w:rsidRDefault="009A6D0A" w:rsidP="009A6D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0A2F">
        <w:rPr>
          <w:rFonts w:ascii="Times New Roman" w:eastAsia="Times New Roman" w:hAnsi="Times New Roman"/>
          <w:sz w:val="26"/>
          <w:szCs w:val="26"/>
          <w:lang w:eastAsia="ru-RU"/>
        </w:rPr>
        <w:t>В рамках контракта:</w:t>
      </w:r>
    </w:p>
    <w:p w:rsidR="009A6D0A" w:rsidRPr="00610A2F" w:rsidRDefault="009A6D0A" w:rsidP="009A6D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0A2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1) Выполнены работы по проведению инвентаризации и анализа задолженности МУП «УГХ»:</w:t>
      </w:r>
    </w:p>
    <w:p w:rsidR="009A6D0A" w:rsidRPr="00610A2F" w:rsidRDefault="009A6D0A" w:rsidP="009A6D0A">
      <w:pPr>
        <w:numPr>
          <w:ilvl w:val="0"/>
          <w:numId w:val="1"/>
        </w:numPr>
        <w:spacing w:after="0" w:line="240" w:lineRule="auto"/>
        <w:ind w:right="45" w:firstLine="993"/>
        <w:contextualSpacing/>
        <w:jc w:val="both"/>
        <w:rPr>
          <w:rFonts w:ascii="Times New Roman" w:eastAsia="Times New Roman" w:hAnsi="Times New Roman"/>
          <w:color w:val="252525"/>
          <w:sz w:val="26"/>
          <w:szCs w:val="26"/>
        </w:rPr>
      </w:pPr>
      <w:r w:rsidRPr="00610A2F">
        <w:rPr>
          <w:rFonts w:ascii="Times New Roman" w:eastAsia="Times New Roman" w:hAnsi="Times New Roman"/>
          <w:color w:val="252525"/>
          <w:sz w:val="26"/>
          <w:szCs w:val="26"/>
        </w:rPr>
        <w:t>определены суммы, срок и причины возникновения кредиторской задолженности по отдельным кредиторам;</w:t>
      </w:r>
    </w:p>
    <w:p w:rsidR="009A6D0A" w:rsidRPr="00610A2F" w:rsidRDefault="009A6D0A" w:rsidP="009A6D0A">
      <w:pPr>
        <w:numPr>
          <w:ilvl w:val="0"/>
          <w:numId w:val="1"/>
        </w:numPr>
        <w:spacing w:after="0" w:line="240" w:lineRule="auto"/>
        <w:ind w:firstLine="993"/>
        <w:contextualSpacing/>
        <w:jc w:val="both"/>
        <w:rPr>
          <w:rFonts w:ascii="Times New Roman" w:eastAsia="MS Mincho" w:hAnsi="Times New Roman"/>
          <w:sz w:val="26"/>
          <w:szCs w:val="26"/>
        </w:rPr>
      </w:pPr>
      <w:r w:rsidRPr="00610A2F">
        <w:rPr>
          <w:rFonts w:ascii="Times New Roman" w:eastAsia="Times New Roman" w:hAnsi="Times New Roman"/>
          <w:color w:val="252525"/>
          <w:sz w:val="26"/>
          <w:szCs w:val="26"/>
        </w:rPr>
        <w:t>определены суммы, сроки и причины возникновения дебиторской задолженности по отдельным дебиторам, оценка ее собираемости и выявление безнадежной дебиторской задолженности.</w:t>
      </w:r>
    </w:p>
    <w:p w:rsidR="009A6D0A" w:rsidRPr="00610A2F" w:rsidRDefault="009A6D0A" w:rsidP="009A6D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252525"/>
          <w:sz w:val="26"/>
          <w:szCs w:val="26"/>
        </w:rPr>
      </w:pPr>
      <w:r w:rsidRPr="00610A2F">
        <w:rPr>
          <w:rFonts w:ascii="Times New Roman" w:eastAsia="Times New Roman" w:hAnsi="Times New Roman"/>
          <w:color w:val="252525"/>
          <w:sz w:val="26"/>
          <w:szCs w:val="26"/>
        </w:rPr>
        <w:t xml:space="preserve">2) Выполнены работы по подготовке условий реструктуризации кредиторской задолженности с кредиторами и кредитными организациями:                </w:t>
      </w:r>
    </w:p>
    <w:p w:rsidR="009A6D0A" w:rsidRPr="00610A2F" w:rsidRDefault="009A6D0A" w:rsidP="009A6D0A">
      <w:pPr>
        <w:spacing w:after="0" w:line="240" w:lineRule="auto"/>
        <w:ind w:left="1416"/>
        <w:contextualSpacing/>
        <w:jc w:val="both"/>
        <w:rPr>
          <w:rFonts w:ascii="Times New Roman" w:eastAsia="Times New Roman" w:hAnsi="Times New Roman"/>
          <w:color w:val="252525"/>
          <w:sz w:val="26"/>
          <w:szCs w:val="26"/>
        </w:rPr>
      </w:pPr>
      <w:r>
        <w:rPr>
          <w:rFonts w:ascii="Times New Roman" w:eastAsia="Times New Roman" w:hAnsi="Times New Roman"/>
          <w:color w:val="252525"/>
          <w:sz w:val="26"/>
          <w:szCs w:val="26"/>
        </w:rPr>
        <w:t xml:space="preserve">    -</w:t>
      </w:r>
      <w:r w:rsidRPr="00610A2F">
        <w:rPr>
          <w:rFonts w:ascii="Times New Roman" w:eastAsia="Times New Roman" w:hAnsi="Times New Roman"/>
          <w:color w:val="252525"/>
          <w:sz w:val="26"/>
          <w:szCs w:val="26"/>
        </w:rPr>
        <w:t xml:space="preserve"> выявление кредиторской задолженности, подлежащей списанию, взаимозачету;</w:t>
      </w:r>
    </w:p>
    <w:p w:rsidR="009A6D0A" w:rsidRPr="00610A2F" w:rsidRDefault="009A6D0A" w:rsidP="009A6D0A">
      <w:pPr>
        <w:numPr>
          <w:ilvl w:val="0"/>
          <w:numId w:val="1"/>
        </w:numPr>
        <w:spacing w:after="0" w:line="240" w:lineRule="auto"/>
        <w:ind w:right="45" w:firstLine="993"/>
        <w:contextualSpacing/>
        <w:jc w:val="both"/>
        <w:rPr>
          <w:rFonts w:ascii="Times New Roman" w:eastAsia="Times New Roman" w:hAnsi="Times New Roman"/>
          <w:color w:val="252525"/>
          <w:sz w:val="26"/>
          <w:szCs w:val="26"/>
        </w:rPr>
      </w:pPr>
      <w:r w:rsidRPr="00610A2F">
        <w:rPr>
          <w:rFonts w:ascii="Times New Roman" w:eastAsia="Times New Roman" w:hAnsi="Times New Roman"/>
          <w:color w:val="252525"/>
          <w:sz w:val="26"/>
          <w:szCs w:val="26"/>
        </w:rPr>
        <w:t>оценка размера поступления средств от сбора дебиторской задолженности, от продажи активов, которые могут быть направлены на погашение кредиторской задолженности;</w:t>
      </w:r>
    </w:p>
    <w:p w:rsidR="009A6D0A" w:rsidRPr="00610A2F" w:rsidRDefault="009A6D0A" w:rsidP="009A6D0A">
      <w:pPr>
        <w:numPr>
          <w:ilvl w:val="0"/>
          <w:numId w:val="1"/>
        </w:numPr>
        <w:spacing w:after="0" w:line="240" w:lineRule="auto"/>
        <w:ind w:right="45" w:firstLine="993"/>
        <w:contextualSpacing/>
        <w:jc w:val="both"/>
        <w:rPr>
          <w:rFonts w:ascii="Times New Roman" w:eastAsia="Times New Roman" w:hAnsi="Times New Roman"/>
          <w:color w:val="252525"/>
          <w:sz w:val="26"/>
          <w:szCs w:val="26"/>
        </w:rPr>
      </w:pPr>
      <w:r w:rsidRPr="00610A2F">
        <w:rPr>
          <w:rFonts w:ascii="Times New Roman" w:eastAsia="Times New Roman" w:hAnsi="Times New Roman"/>
          <w:color w:val="252525"/>
          <w:sz w:val="26"/>
          <w:szCs w:val="26"/>
        </w:rPr>
        <w:t>определение графика погашения задолженности и параметров реструктуризации задолженности;</w:t>
      </w:r>
    </w:p>
    <w:p w:rsidR="009A6D0A" w:rsidRPr="00610A2F" w:rsidRDefault="009A6D0A" w:rsidP="009A6D0A">
      <w:pPr>
        <w:numPr>
          <w:ilvl w:val="0"/>
          <w:numId w:val="1"/>
        </w:numPr>
        <w:spacing w:after="0" w:line="240" w:lineRule="auto"/>
        <w:ind w:right="45" w:firstLine="993"/>
        <w:contextualSpacing/>
        <w:jc w:val="both"/>
        <w:rPr>
          <w:rFonts w:ascii="Times New Roman" w:eastAsia="Times New Roman" w:hAnsi="Times New Roman"/>
          <w:color w:val="252525"/>
          <w:sz w:val="26"/>
          <w:szCs w:val="26"/>
        </w:rPr>
      </w:pPr>
      <w:r w:rsidRPr="00610A2F">
        <w:rPr>
          <w:rFonts w:ascii="Times New Roman" w:eastAsia="Times New Roman" w:hAnsi="Times New Roman"/>
          <w:color w:val="252525"/>
          <w:sz w:val="26"/>
          <w:szCs w:val="26"/>
        </w:rPr>
        <w:t>формирование системы расчетов с поставщиками и потребителями, направленной на предотвращение возникновения новой кредиторской задолженности;</w:t>
      </w:r>
    </w:p>
    <w:p w:rsidR="009A6D0A" w:rsidRPr="00610A2F" w:rsidRDefault="009A6D0A" w:rsidP="009A6D0A">
      <w:pPr>
        <w:numPr>
          <w:ilvl w:val="0"/>
          <w:numId w:val="1"/>
        </w:numPr>
        <w:spacing w:after="0" w:line="240" w:lineRule="auto"/>
        <w:ind w:right="45" w:firstLine="993"/>
        <w:contextualSpacing/>
        <w:jc w:val="both"/>
        <w:rPr>
          <w:rFonts w:ascii="Times New Roman" w:eastAsia="Times New Roman" w:hAnsi="Times New Roman"/>
          <w:color w:val="252525"/>
          <w:sz w:val="26"/>
          <w:szCs w:val="26"/>
        </w:rPr>
      </w:pPr>
      <w:r w:rsidRPr="00610A2F">
        <w:rPr>
          <w:rFonts w:ascii="Times New Roman" w:eastAsia="Times New Roman" w:hAnsi="Times New Roman"/>
          <w:color w:val="252525"/>
          <w:sz w:val="26"/>
          <w:szCs w:val="26"/>
        </w:rPr>
        <w:t>определение условий реструктуризации задолженности, которые будут включены в концессионное соглашение.</w:t>
      </w:r>
    </w:p>
    <w:p w:rsidR="009A6D0A" w:rsidRPr="00610A2F" w:rsidRDefault="009A6D0A" w:rsidP="009A6D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525"/>
          <w:sz w:val="26"/>
          <w:szCs w:val="26"/>
          <w:lang w:eastAsia="ru-RU"/>
        </w:rPr>
      </w:pPr>
      <w:r w:rsidRPr="00610A2F">
        <w:rPr>
          <w:rFonts w:ascii="Times New Roman" w:eastAsia="Times New Roman" w:hAnsi="Times New Roman"/>
          <w:color w:val="252525"/>
          <w:sz w:val="26"/>
          <w:szCs w:val="26"/>
          <w:lang w:eastAsia="ru-RU"/>
        </w:rPr>
        <w:t>3) Выполнены работы по формированию перечня объектов концессионного соглашения:</w:t>
      </w:r>
    </w:p>
    <w:p w:rsidR="009A6D0A" w:rsidRPr="00610A2F" w:rsidRDefault="009A6D0A" w:rsidP="009A6D0A">
      <w:pPr>
        <w:numPr>
          <w:ilvl w:val="0"/>
          <w:numId w:val="1"/>
        </w:numPr>
        <w:spacing w:after="0" w:line="240" w:lineRule="auto"/>
        <w:ind w:right="45" w:firstLine="993"/>
        <w:contextualSpacing/>
        <w:jc w:val="both"/>
        <w:rPr>
          <w:rFonts w:ascii="Times New Roman" w:eastAsia="Times New Roman" w:hAnsi="Times New Roman"/>
          <w:color w:val="252525"/>
          <w:sz w:val="26"/>
          <w:szCs w:val="26"/>
        </w:rPr>
      </w:pPr>
      <w:r w:rsidRPr="00610A2F">
        <w:rPr>
          <w:rFonts w:ascii="Times New Roman" w:eastAsia="Times New Roman" w:hAnsi="Times New Roman"/>
          <w:color w:val="252525"/>
          <w:sz w:val="26"/>
          <w:szCs w:val="26"/>
        </w:rPr>
        <w:t xml:space="preserve">анализ правоустанавливающих документов;  </w:t>
      </w:r>
    </w:p>
    <w:p w:rsidR="009A6D0A" w:rsidRPr="00610A2F" w:rsidRDefault="009A6D0A" w:rsidP="009A6D0A">
      <w:pPr>
        <w:numPr>
          <w:ilvl w:val="0"/>
          <w:numId w:val="1"/>
        </w:numPr>
        <w:spacing w:after="0" w:line="240" w:lineRule="auto"/>
        <w:ind w:right="45" w:firstLine="993"/>
        <w:contextualSpacing/>
        <w:jc w:val="both"/>
        <w:rPr>
          <w:rFonts w:ascii="Times New Roman" w:eastAsia="Times New Roman" w:hAnsi="Times New Roman"/>
          <w:color w:val="252525"/>
          <w:sz w:val="26"/>
          <w:szCs w:val="26"/>
        </w:rPr>
      </w:pPr>
      <w:r w:rsidRPr="00610A2F">
        <w:rPr>
          <w:rFonts w:ascii="Times New Roman" w:eastAsia="Times New Roman" w:hAnsi="Times New Roman"/>
          <w:color w:val="252525"/>
          <w:sz w:val="26"/>
          <w:szCs w:val="26"/>
        </w:rPr>
        <w:t>анализ регистрации права хозяйственного ведения (при нахождении имущества в хозяйственном ведении МУП);</w:t>
      </w:r>
    </w:p>
    <w:p w:rsidR="009A6D0A" w:rsidRPr="00610A2F" w:rsidRDefault="009A6D0A" w:rsidP="009A6D0A">
      <w:pPr>
        <w:numPr>
          <w:ilvl w:val="0"/>
          <w:numId w:val="1"/>
        </w:numPr>
        <w:spacing w:after="0" w:line="240" w:lineRule="auto"/>
        <w:ind w:right="45" w:firstLine="993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610A2F">
        <w:rPr>
          <w:rFonts w:ascii="Times New Roman" w:eastAsia="Times New Roman" w:hAnsi="Times New Roman"/>
          <w:color w:val="252525"/>
          <w:sz w:val="26"/>
          <w:szCs w:val="26"/>
        </w:rPr>
        <w:t xml:space="preserve">техническая инвентаризация объектов </w:t>
      </w:r>
      <w:r w:rsidRPr="00610A2F">
        <w:rPr>
          <w:rFonts w:ascii="Times New Roman" w:eastAsia="Times New Roman" w:hAnsi="Times New Roman"/>
          <w:sz w:val="26"/>
          <w:szCs w:val="26"/>
        </w:rPr>
        <w:t>теплоснабжения, водоснабжения и водоотведения</w:t>
      </w:r>
      <w:r w:rsidRPr="00610A2F">
        <w:rPr>
          <w:rFonts w:ascii="Times New Roman" w:eastAsia="Times New Roman" w:hAnsi="Times New Roman"/>
          <w:color w:val="252525"/>
          <w:sz w:val="26"/>
          <w:szCs w:val="26"/>
        </w:rPr>
        <w:t>;</w:t>
      </w:r>
    </w:p>
    <w:p w:rsidR="009A6D0A" w:rsidRPr="00610A2F" w:rsidRDefault="009A6D0A" w:rsidP="009A6D0A">
      <w:pPr>
        <w:numPr>
          <w:ilvl w:val="0"/>
          <w:numId w:val="1"/>
        </w:numPr>
        <w:spacing w:after="0" w:line="240" w:lineRule="auto"/>
        <w:ind w:right="45" w:firstLine="993"/>
        <w:contextualSpacing/>
        <w:jc w:val="both"/>
        <w:rPr>
          <w:rFonts w:ascii="Times New Roman" w:eastAsia="Times New Roman" w:hAnsi="Times New Roman"/>
          <w:color w:val="252525"/>
          <w:sz w:val="26"/>
          <w:szCs w:val="26"/>
          <w:lang w:eastAsia="ru-RU"/>
        </w:rPr>
      </w:pPr>
      <w:r w:rsidRPr="00610A2F">
        <w:rPr>
          <w:rFonts w:ascii="Times New Roman" w:eastAsia="Times New Roman" w:hAnsi="Times New Roman"/>
          <w:color w:val="252525"/>
          <w:sz w:val="26"/>
          <w:szCs w:val="26"/>
          <w:lang w:eastAsia="ru-RU"/>
        </w:rPr>
        <w:t xml:space="preserve">разработана финансово-экономическая модель заключения концессионного соглашения. Сформирован проект концессионного соглашения. </w:t>
      </w:r>
    </w:p>
    <w:p w:rsidR="009A6D0A" w:rsidRPr="00610A2F" w:rsidRDefault="009A6D0A" w:rsidP="009A6D0A">
      <w:pPr>
        <w:spacing w:after="0" w:line="240" w:lineRule="auto"/>
        <w:ind w:right="45" w:firstLine="708"/>
        <w:contextualSpacing/>
        <w:jc w:val="both"/>
        <w:rPr>
          <w:rFonts w:ascii="Times New Roman" w:eastAsia="Times New Roman" w:hAnsi="Times New Roman"/>
          <w:color w:val="252525"/>
          <w:sz w:val="26"/>
          <w:szCs w:val="26"/>
          <w:lang w:eastAsia="ru-RU"/>
        </w:rPr>
      </w:pPr>
      <w:r w:rsidRPr="00610A2F">
        <w:rPr>
          <w:rFonts w:ascii="Times New Roman" w:eastAsia="Times New Roman" w:hAnsi="Times New Roman"/>
          <w:color w:val="252525"/>
          <w:sz w:val="26"/>
          <w:szCs w:val="26"/>
          <w:lang w:eastAsia="ru-RU"/>
        </w:rPr>
        <w:t xml:space="preserve">В декабре 2019 года получено заключение от Региональной службы по тарифам на значения долгосрочных параметров регулирования и методу регулирования тарифов в отношении систем водоснабжения и водоотведения. В отношении систем теплоснабжения РСТ выдан ряд замечаний, которые были направлены в адрес разработчика для устранения. </w:t>
      </w:r>
    </w:p>
    <w:p w:rsidR="009A6D0A" w:rsidRPr="00610A2F" w:rsidRDefault="009A6D0A" w:rsidP="009A6D0A">
      <w:pPr>
        <w:spacing w:after="0" w:line="240" w:lineRule="auto"/>
        <w:ind w:right="45" w:firstLine="708"/>
        <w:contextualSpacing/>
        <w:jc w:val="both"/>
        <w:rPr>
          <w:rFonts w:ascii="Times New Roman" w:eastAsia="Times New Roman" w:hAnsi="Times New Roman"/>
          <w:color w:val="252525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52525"/>
          <w:sz w:val="26"/>
          <w:szCs w:val="26"/>
          <w:lang w:eastAsia="ru-RU"/>
        </w:rPr>
        <w:t>Скорректированный</w:t>
      </w:r>
      <w:r w:rsidRPr="00610A2F">
        <w:rPr>
          <w:rFonts w:ascii="Times New Roman" w:eastAsia="Times New Roman" w:hAnsi="Times New Roman"/>
          <w:color w:val="252525"/>
          <w:sz w:val="26"/>
          <w:szCs w:val="26"/>
          <w:lang w:eastAsia="ru-RU"/>
        </w:rPr>
        <w:t xml:space="preserve"> вариант концессионного соглашения, с устранением всех замечаний, в адрес администрации поступил</w:t>
      </w:r>
      <w:r>
        <w:rPr>
          <w:rFonts w:ascii="Times New Roman" w:eastAsia="Times New Roman" w:hAnsi="Times New Roman"/>
          <w:color w:val="252525"/>
          <w:sz w:val="26"/>
          <w:szCs w:val="26"/>
          <w:lang w:eastAsia="ru-RU"/>
        </w:rPr>
        <w:t xml:space="preserve"> </w:t>
      </w:r>
      <w:r w:rsidR="003D588D">
        <w:rPr>
          <w:rFonts w:ascii="Times New Roman" w:eastAsia="Times New Roman" w:hAnsi="Times New Roman"/>
          <w:color w:val="252525"/>
          <w:sz w:val="26"/>
          <w:szCs w:val="26"/>
          <w:lang w:eastAsia="ru-RU"/>
        </w:rPr>
        <w:t>в ноябре 2020</w:t>
      </w:r>
      <w:r w:rsidR="00A534C3">
        <w:rPr>
          <w:rFonts w:ascii="Times New Roman" w:eastAsia="Times New Roman" w:hAnsi="Times New Roman"/>
          <w:color w:val="252525"/>
          <w:sz w:val="26"/>
          <w:szCs w:val="26"/>
          <w:lang w:eastAsia="ru-RU"/>
        </w:rPr>
        <w:t>, по дополнительному запросу – в декабре</w:t>
      </w:r>
      <w:r w:rsidR="003D588D">
        <w:rPr>
          <w:rFonts w:ascii="Times New Roman" w:eastAsia="Times New Roman" w:hAnsi="Times New Roman"/>
          <w:color w:val="252525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252525"/>
          <w:sz w:val="26"/>
          <w:szCs w:val="26"/>
          <w:lang w:eastAsia="ru-RU"/>
        </w:rPr>
        <w:t xml:space="preserve"> </w:t>
      </w:r>
    </w:p>
    <w:p w:rsidR="009A6D0A" w:rsidRDefault="003D588D" w:rsidP="009A6D0A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сегодняшний день</w:t>
      </w:r>
      <w:r w:rsidR="009A6D0A">
        <w:rPr>
          <w:sz w:val="26"/>
          <w:szCs w:val="26"/>
        </w:rPr>
        <w:t xml:space="preserve"> заявление о согласовании значений долгосрочных параметров регулирования и метода </w:t>
      </w:r>
      <w:r w:rsidR="009A6D0A" w:rsidRPr="00610A2F">
        <w:rPr>
          <w:rFonts w:eastAsia="Times New Roman"/>
          <w:color w:val="252525"/>
          <w:sz w:val="26"/>
          <w:szCs w:val="26"/>
        </w:rPr>
        <w:t>регулирования тарифов</w:t>
      </w:r>
      <w:r w:rsidR="009A6D0A">
        <w:rPr>
          <w:sz w:val="26"/>
          <w:szCs w:val="26"/>
        </w:rPr>
        <w:t xml:space="preserve"> направлено </w:t>
      </w:r>
      <w:r>
        <w:rPr>
          <w:sz w:val="26"/>
          <w:szCs w:val="26"/>
        </w:rPr>
        <w:t>в адрес РСТ ХМАО-Югры.</w:t>
      </w:r>
      <w:r w:rsidR="009A6D0A">
        <w:rPr>
          <w:sz w:val="26"/>
          <w:szCs w:val="26"/>
        </w:rPr>
        <w:t xml:space="preserve"> </w:t>
      </w:r>
      <w:r>
        <w:rPr>
          <w:sz w:val="26"/>
          <w:szCs w:val="26"/>
        </w:rPr>
        <w:t>В случае</w:t>
      </w:r>
      <w:r w:rsidR="009A6D0A">
        <w:rPr>
          <w:sz w:val="26"/>
          <w:szCs w:val="26"/>
        </w:rPr>
        <w:t xml:space="preserve"> согласования конкурсной документации органами исполнительной власти округа будет объявлен конкурс на право заключения концессионного соглашения.</w:t>
      </w:r>
    </w:p>
    <w:p w:rsidR="009A6D0A" w:rsidRDefault="003D588D" w:rsidP="003D588D">
      <w:pPr>
        <w:pStyle w:val="Default"/>
        <w:ind w:firstLine="708"/>
        <w:jc w:val="both"/>
      </w:pPr>
      <w:r>
        <w:rPr>
          <w:sz w:val="26"/>
          <w:szCs w:val="26"/>
        </w:rPr>
        <w:t>О</w:t>
      </w:r>
      <w:r w:rsidR="009A6D0A">
        <w:rPr>
          <w:sz w:val="26"/>
          <w:szCs w:val="26"/>
        </w:rPr>
        <w:t>риентировочный срок заключе</w:t>
      </w:r>
      <w:r>
        <w:rPr>
          <w:sz w:val="26"/>
          <w:szCs w:val="26"/>
        </w:rPr>
        <w:t xml:space="preserve">ния концессионного соглашения в отношении объектов ЖКК </w:t>
      </w:r>
      <w:r w:rsidR="00A534C3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A534C3">
        <w:rPr>
          <w:sz w:val="26"/>
          <w:szCs w:val="26"/>
        </w:rPr>
        <w:t>31.12.2021 года</w:t>
      </w:r>
      <w:r>
        <w:rPr>
          <w:sz w:val="26"/>
          <w:szCs w:val="26"/>
        </w:rPr>
        <w:t>.</w:t>
      </w:r>
    </w:p>
    <w:sectPr w:rsidR="009A6D0A" w:rsidSect="00A534C3">
      <w:pgSz w:w="11906" w:h="16838"/>
      <w:pgMar w:top="851" w:right="9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1066F"/>
    <w:multiLevelType w:val="hybridMultilevel"/>
    <w:tmpl w:val="2078FB00"/>
    <w:lvl w:ilvl="0" w:tplc="96A0E7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D1"/>
    <w:rsid w:val="003D588D"/>
    <w:rsid w:val="009653D1"/>
    <w:rsid w:val="009A6D0A"/>
    <w:rsid w:val="00A534C3"/>
    <w:rsid w:val="00C5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B916D-A0E7-4185-B884-17CD7792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6D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Гилева</dc:creator>
  <cp:keywords/>
  <dc:description/>
  <cp:lastModifiedBy>Наталья Гилева</cp:lastModifiedBy>
  <cp:revision>2</cp:revision>
  <dcterms:created xsi:type="dcterms:W3CDTF">2020-12-16T03:28:00Z</dcterms:created>
  <dcterms:modified xsi:type="dcterms:W3CDTF">2020-12-16T03:55:00Z</dcterms:modified>
</cp:coreProperties>
</file>