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32" w:rsidRPr="000D1F82" w:rsidRDefault="003E6032" w:rsidP="003E6032">
      <w:pPr>
        <w:shd w:val="clear" w:color="auto" w:fill="FFFFFF"/>
        <w:ind w:left="5387"/>
        <w:jc w:val="right"/>
        <w:rPr>
          <w:sz w:val="28"/>
          <w:szCs w:val="28"/>
        </w:rPr>
      </w:pPr>
      <w:r w:rsidRPr="000D1F82">
        <w:rPr>
          <w:sz w:val="28"/>
          <w:szCs w:val="28"/>
        </w:rPr>
        <w:t xml:space="preserve">Приложение № 1 </w:t>
      </w:r>
    </w:p>
    <w:p w:rsidR="003E6032" w:rsidRDefault="003E6032" w:rsidP="003E6032">
      <w:pPr>
        <w:shd w:val="clear" w:color="auto" w:fill="FFFFFF"/>
        <w:ind w:left="5387"/>
        <w:jc w:val="right"/>
        <w:rPr>
          <w:sz w:val="28"/>
          <w:szCs w:val="28"/>
        </w:rPr>
      </w:pPr>
      <w:r w:rsidRPr="000D1F82">
        <w:rPr>
          <w:sz w:val="28"/>
          <w:szCs w:val="28"/>
        </w:rPr>
        <w:t>к аукционной документации</w:t>
      </w:r>
    </w:p>
    <w:p w:rsidR="003E6032" w:rsidRPr="000D1F82" w:rsidRDefault="003E6032" w:rsidP="003E6032">
      <w:pPr>
        <w:shd w:val="clear" w:color="auto" w:fill="FFFFFF"/>
        <w:ind w:left="5387"/>
        <w:jc w:val="right"/>
        <w:rPr>
          <w:sz w:val="28"/>
          <w:szCs w:val="28"/>
        </w:rPr>
      </w:pPr>
    </w:p>
    <w:p w:rsidR="003E6032" w:rsidRDefault="003E6032" w:rsidP="003E6032">
      <w:pPr>
        <w:jc w:val="both"/>
        <w:rPr>
          <w:sz w:val="28"/>
          <w:szCs w:val="28"/>
        </w:rPr>
      </w:pPr>
    </w:p>
    <w:p w:rsidR="003E6032" w:rsidRPr="007555C9" w:rsidRDefault="003E6032" w:rsidP="003E6032">
      <w:pPr>
        <w:jc w:val="center"/>
        <w:rPr>
          <w:sz w:val="28"/>
          <w:szCs w:val="28"/>
        </w:rPr>
      </w:pPr>
      <w:r w:rsidRPr="007555C9">
        <w:rPr>
          <w:sz w:val="28"/>
          <w:szCs w:val="28"/>
        </w:rPr>
        <w:t>ИЗВЕЩЕНИЕ</w:t>
      </w:r>
    </w:p>
    <w:p w:rsidR="003E6032" w:rsidRPr="007555C9" w:rsidRDefault="003E6032" w:rsidP="003E6032">
      <w:pPr>
        <w:jc w:val="center"/>
        <w:rPr>
          <w:sz w:val="28"/>
          <w:szCs w:val="28"/>
        </w:rPr>
      </w:pPr>
      <w:r w:rsidRPr="007555C9">
        <w:rPr>
          <w:sz w:val="28"/>
          <w:szCs w:val="28"/>
        </w:rPr>
        <w:t xml:space="preserve"> о проведении электронного аукциона на право заключения договора </w:t>
      </w:r>
    </w:p>
    <w:p w:rsidR="003E6032" w:rsidRPr="007555C9" w:rsidRDefault="003E6032" w:rsidP="003E6032">
      <w:pPr>
        <w:jc w:val="center"/>
        <w:rPr>
          <w:sz w:val="28"/>
          <w:szCs w:val="28"/>
        </w:rPr>
      </w:pPr>
      <w:r w:rsidRPr="007555C9">
        <w:rPr>
          <w:sz w:val="28"/>
          <w:szCs w:val="28"/>
        </w:rPr>
        <w:t>на размещение нестационарного торгового объекта</w:t>
      </w:r>
    </w:p>
    <w:p w:rsidR="003E6032" w:rsidRPr="007555C9" w:rsidRDefault="003E6032" w:rsidP="003E6032">
      <w:pPr>
        <w:jc w:val="center"/>
        <w:rPr>
          <w:sz w:val="28"/>
          <w:szCs w:val="28"/>
        </w:rPr>
      </w:pPr>
      <w:r w:rsidRPr="007555C9">
        <w:rPr>
          <w:sz w:val="28"/>
          <w:szCs w:val="28"/>
        </w:rPr>
        <w:t xml:space="preserve"> на территории города Пыть-Ях</w:t>
      </w:r>
    </w:p>
    <w:p w:rsidR="003E6032" w:rsidRPr="007555C9" w:rsidRDefault="003E6032" w:rsidP="003E6032">
      <w:pPr>
        <w:jc w:val="center"/>
        <w:rPr>
          <w:sz w:val="28"/>
          <w:szCs w:val="28"/>
        </w:rPr>
      </w:pPr>
    </w:p>
    <w:p w:rsidR="003E6032" w:rsidRPr="007555C9" w:rsidRDefault="003E6032" w:rsidP="003E6032">
      <w:pPr>
        <w:ind w:firstLine="567"/>
        <w:jc w:val="both"/>
        <w:rPr>
          <w:sz w:val="28"/>
          <w:szCs w:val="28"/>
        </w:rPr>
      </w:pPr>
      <w:r w:rsidRPr="007555C9">
        <w:rPr>
          <w:b/>
          <w:color w:val="000000"/>
          <w:sz w:val="28"/>
          <w:szCs w:val="28"/>
        </w:rPr>
        <w:t xml:space="preserve">Управление по экономике администрации города Пыть-Ях сообщает о проведении аукциона в электронной форме, открытого по составу участников, на право заключения договора на размещение нестационарного торгового объекта на землях или земельных участках, расположенных на территории города Пыть-Яха. </w:t>
      </w:r>
    </w:p>
    <w:p w:rsidR="003E6032" w:rsidRPr="007555C9" w:rsidRDefault="003E6032" w:rsidP="003E6032">
      <w:pPr>
        <w:rPr>
          <w:sz w:val="24"/>
          <w:szCs w:val="24"/>
        </w:rPr>
      </w:pPr>
    </w:p>
    <w:tbl>
      <w:tblPr>
        <w:tblW w:w="9713" w:type="dxa"/>
        <w:jc w:val="center"/>
        <w:tblLayout w:type="fixed"/>
        <w:tblLook w:val="00A0" w:firstRow="1" w:lastRow="0" w:firstColumn="1" w:lastColumn="0" w:noHBand="0" w:noVBand="0"/>
      </w:tblPr>
      <w:tblGrid>
        <w:gridCol w:w="4028"/>
        <w:gridCol w:w="5685"/>
      </w:tblGrid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right" w:pos="459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Организатор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Управление по экономике администрации города Пыть-Яха; 628380, Ханты-Мансийский автономный округ г.Пыть-Ях, 1 </w:t>
            </w:r>
            <w:proofErr w:type="gramStart"/>
            <w:r w:rsidRPr="007555C9">
              <w:rPr>
                <w:sz w:val="28"/>
                <w:szCs w:val="28"/>
              </w:rPr>
              <w:t>мкр.,</w:t>
            </w:r>
            <w:proofErr w:type="gramEnd"/>
            <w:r w:rsidRPr="007555C9">
              <w:rPr>
                <w:sz w:val="28"/>
                <w:szCs w:val="28"/>
              </w:rPr>
              <w:t xml:space="preserve"> дом 18 «а»; 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Электронная почта: </w:t>
            </w:r>
            <w:hyperlink r:id="rId4" w:history="1">
              <w:r w:rsidRPr="007555C9">
                <w:rPr>
                  <w:color w:val="0563C1"/>
                  <w:sz w:val="28"/>
                  <w:szCs w:val="28"/>
                  <w:u w:val="single"/>
                </w:rPr>
                <w:t>ekonom@gov86.org</w:t>
              </w:r>
            </w:hyperlink>
            <w:r w:rsidRPr="007555C9">
              <w:rPr>
                <w:sz w:val="28"/>
                <w:szCs w:val="28"/>
              </w:rPr>
              <w:t xml:space="preserve">; 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Контактный телефон: 8(3463)46-55-15; 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Контактное лицо: Маслак Сергей Васильевич – начальник управления по экономике администрации города Пыть-Ях.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right" w:pos="459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Аукцион на право заключения договоров на размещение нестационарного торгового объекта на территории города Пыть-Яха, является открытым по составу участников и проводится в форме электронного аукциона (далее – электронный аукцион, аукцион).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sz w:val="24"/>
                <w:szCs w:val="24"/>
                <w:lang w:val="x-none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ind w:firstLine="434"/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Основания проведения электронного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Постановление администрации города Пыть-Яха от 16.11.2021 № 505-па «Об утверждении порядка организации и проведения аукциона на право заключения договора на размещение нестационарного торгового объекта и (или) объекта оказания услуг на территории города Пыть-Яха»; Постановлением администрации города Пыть-Ях от 20.05.2016 № 117-па «Об утверждении схемы размещения нестационарных торговых объектов на земельных участках, находящихся в государственной собственности или муниципальной </w:t>
            </w:r>
            <w:r w:rsidRPr="00F1077C">
              <w:rPr>
                <w:sz w:val="28"/>
                <w:szCs w:val="28"/>
              </w:rPr>
              <w:t>собственности на те</w:t>
            </w:r>
            <w:bookmarkStart w:id="0" w:name="_GoBack"/>
            <w:bookmarkEnd w:id="0"/>
            <w:r w:rsidRPr="00F1077C">
              <w:rPr>
                <w:sz w:val="28"/>
                <w:szCs w:val="28"/>
              </w:rPr>
              <w:t xml:space="preserve">рритории города Пыть-Яха»; Распоряжение администрации города Пыть-Яха </w:t>
            </w:r>
            <w:r w:rsidR="00F1077C" w:rsidRPr="00F1077C">
              <w:rPr>
                <w:sz w:val="28"/>
                <w:szCs w:val="28"/>
              </w:rPr>
              <w:t xml:space="preserve">от 22.08.2024 № 1569-ра </w:t>
            </w:r>
            <w:r w:rsidRPr="00F1077C">
              <w:rPr>
                <w:sz w:val="28"/>
                <w:szCs w:val="28"/>
              </w:rPr>
              <w:t>«О проведении аукционов в электронной форме на право заключения договора на размещение нестационарного торгового объекта на территории города       Пыть-Ях»</w:t>
            </w:r>
            <w:r w:rsidRPr="007555C9">
              <w:rPr>
                <w:sz w:val="28"/>
                <w:szCs w:val="28"/>
              </w:rPr>
              <w:t xml:space="preserve"> 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lastRenderedPageBreak/>
              <w:t>Дата и время проведения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016663" w:rsidRDefault="003E6032" w:rsidP="00E52BD6">
            <w:pPr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ind w:firstLine="533"/>
              <w:jc w:val="both"/>
              <w:rPr>
                <w:sz w:val="28"/>
                <w:szCs w:val="28"/>
              </w:rPr>
            </w:pPr>
            <w:r w:rsidRPr="00016663">
              <w:rPr>
                <w:sz w:val="28"/>
                <w:szCs w:val="28"/>
              </w:rPr>
              <w:t>26.09.2024г. в 10:00 по местному времени (08:00 – время московское) на электронной площадке АО «Сбербанк - АСТ».</w:t>
            </w:r>
          </w:p>
          <w:p w:rsidR="003E6032" w:rsidRPr="007555C9" w:rsidRDefault="003E6032" w:rsidP="00E52BD6">
            <w:pPr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Оператор электронной площадки и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адрес электронной площадки в сети интернет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Акционерное общество «Сбербанк-автоматизированная система торгов» (далее - АО «Сбербанк – АСТ)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Адрес электронной площадки: </w:t>
            </w:r>
            <w:hyperlink r:id="rId5" w:history="1">
              <w:r w:rsidRPr="007555C9">
                <w:rPr>
                  <w:sz w:val="28"/>
                  <w:szCs w:val="28"/>
                </w:rPr>
                <w:t>https://www.sberbank-ast.ru/</w:t>
              </w:r>
            </w:hyperlink>
            <w:r w:rsidRPr="007555C9">
              <w:rPr>
                <w:sz w:val="28"/>
                <w:szCs w:val="28"/>
              </w:rPr>
              <w:t xml:space="preserve"> (далее – Электронная площадка) - торговая секция «Приватизация, аренда и продажа прав».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Адрес электронной почты: property@sberbank-ast.ru; </w:t>
            </w:r>
            <w:hyperlink r:id="rId6" w:history="1">
              <w:r w:rsidRPr="007555C9">
                <w:rPr>
                  <w:sz w:val="28"/>
                  <w:szCs w:val="28"/>
                </w:rPr>
                <w:t>info@sberbank-ast.ru</w:t>
              </w:r>
            </w:hyperlink>
            <w:r w:rsidRPr="007555C9">
              <w:rPr>
                <w:sz w:val="28"/>
                <w:szCs w:val="28"/>
              </w:rPr>
              <w:t>; utp.sberbank-ast.ru; company@sberbank-ast.ru;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Тел.: 8 (800) 302-29-99; +7 (495) 787-29-97/99; +7 (495) 539-59-23.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Участники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Участниками (заявителями) аукциона - субъекты малого и среднего предпринимательства (далее - хозяйствующий субъект).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Требования к участникам аукциона: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- отсутствие в отношении участника аукциона - юридического лица процедуры ликвидации и/или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-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правонарушениях.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Предмет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Предметом электронного аукциона является право заключения договора на размещение нестационарного торгового объекта на территории муниципального образования города Пыть-Ях.</w:t>
            </w:r>
          </w:p>
          <w:p w:rsidR="003E6032" w:rsidRPr="007555C9" w:rsidRDefault="003E6032" w:rsidP="003E6032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Лот 1 – павильон</w:t>
            </w:r>
            <w:r w:rsidR="0020764C">
              <w:rPr>
                <w:sz w:val="28"/>
                <w:szCs w:val="28"/>
              </w:rPr>
              <w:t xml:space="preserve"> 1</w:t>
            </w:r>
            <w:r w:rsidRPr="007555C9">
              <w:rPr>
                <w:sz w:val="28"/>
                <w:szCs w:val="28"/>
              </w:rPr>
              <w:t xml:space="preserve">, площадью до 100 </w:t>
            </w:r>
            <w:proofErr w:type="spellStart"/>
            <w:r w:rsidRPr="007555C9">
              <w:rPr>
                <w:sz w:val="28"/>
                <w:szCs w:val="28"/>
              </w:rPr>
              <w:t>кв.м</w:t>
            </w:r>
            <w:proofErr w:type="spellEnd"/>
            <w:r w:rsidRPr="007555C9">
              <w:rPr>
                <w:sz w:val="28"/>
                <w:szCs w:val="28"/>
              </w:rPr>
              <w:t>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Тип (вид) нестационарного торгового объекта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(целевое (функциональное) назначение)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20764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555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Реализация продовольственных</w:t>
            </w:r>
            <w:r w:rsidR="0020764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товаров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right" w:pos="459"/>
              </w:tabs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Площадь размещения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100 </w:t>
            </w:r>
            <w:proofErr w:type="spellStart"/>
            <w:r w:rsidRPr="007555C9">
              <w:rPr>
                <w:sz w:val="28"/>
                <w:szCs w:val="28"/>
              </w:rPr>
              <w:t>кв.м</w:t>
            </w:r>
            <w:proofErr w:type="spellEnd"/>
            <w:r w:rsidRPr="007555C9">
              <w:rPr>
                <w:sz w:val="28"/>
                <w:szCs w:val="28"/>
              </w:rPr>
              <w:t xml:space="preserve">.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right" w:pos="459"/>
              </w:tabs>
              <w:jc w:val="both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Период функционирования, срок действия договора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5 (пять) лет с даты заключения договора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Место расположения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(адресные ориентиры, территориальная зона (район),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Ханты – Мансийский автономный округ – Югра, город Пыть-</w:t>
            </w:r>
            <w:proofErr w:type="gramStart"/>
            <w:r w:rsidRPr="007555C9">
              <w:rPr>
                <w:sz w:val="28"/>
                <w:szCs w:val="28"/>
              </w:rPr>
              <w:t xml:space="preserve">Ях,   </w:t>
            </w:r>
            <w:proofErr w:type="gramEnd"/>
            <w:r w:rsidRPr="007555C9">
              <w:rPr>
                <w:sz w:val="28"/>
                <w:szCs w:val="28"/>
              </w:rPr>
              <w:t xml:space="preserve">                           ул. Магистральная, 96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Ситуационная схема размещения объектов представлена в </w:t>
            </w:r>
            <w:r w:rsidRPr="007555C9">
              <w:rPr>
                <w:b/>
                <w:sz w:val="28"/>
                <w:szCs w:val="28"/>
              </w:rPr>
              <w:t>Приложении                    № 5 к Аукционной документации.</w:t>
            </w:r>
            <w:r w:rsidRPr="007555C9">
              <w:rPr>
                <w:sz w:val="28"/>
                <w:szCs w:val="28"/>
              </w:rPr>
              <w:t xml:space="preserve">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Рекомендуемые требования к внешнему виду нестационарного торгового объекта (параметры и характеристики)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Рекомендуемые требования к внешнему виду нестационарных торговых объектов (параметры и характеристики) представлены в Приложении № 3 к аукционной документации.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Начальная цена предмета аукциона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(начальный размер годовой платы за право размещения нестационарного торгового объекта).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016663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016663">
              <w:rPr>
                <w:sz w:val="28"/>
                <w:szCs w:val="28"/>
              </w:rPr>
              <w:t xml:space="preserve">Начальная цена предмета аукциона (лота) на право заключения договора на размещение нестационарного торгового объекта определяется в соответствии с Приложением № 2 к Порядку организации и проведения аукциона на право заключения договора на размещение нестационарного торгового объекта и (или) объекта оказания услуг на территории города Пыть-Яха, утвержденному постановлением администрацию города Пыть-Ях от 16.11.2021 № 505-па «Об утверждении порядка организации и проведения аукциона на право заключения договора на размещение нестационарного торгового объекта и (или) объекта оказания услуг на территории города Пыть-Яха» </w:t>
            </w:r>
          </w:p>
          <w:p w:rsidR="003E6032" w:rsidRPr="00016663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016663">
              <w:rPr>
                <w:sz w:val="28"/>
                <w:szCs w:val="28"/>
              </w:rPr>
              <w:t>Начальная (минимальная) цена на размещение нестационарного торгового объекта (цена лота) (начальная цена аукциона) - начальная (минимальная) цена за размещение нестационарного торгового объекта в год (12 месяцев).</w:t>
            </w:r>
          </w:p>
          <w:p w:rsidR="003E6032" w:rsidRPr="00016663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b/>
                <w:sz w:val="28"/>
                <w:szCs w:val="28"/>
              </w:rPr>
            </w:pPr>
            <w:r w:rsidRPr="00016663">
              <w:rPr>
                <w:b/>
                <w:sz w:val="28"/>
                <w:szCs w:val="28"/>
              </w:rPr>
              <w:t xml:space="preserve">Начальная (минимальная) цена предмета аукциона, руб./ за 12 месяцев: </w:t>
            </w:r>
          </w:p>
          <w:p w:rsidR="003E6032" w:rsidRPr="00016663" w:rsidRDefault="003E6032" w:rsidP="0020764C">
            <w:pPr>
              <w:tabs>
                <w:tab w:val="left" w:pos="649"/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016663">
              <w:rPr>
                <w:sz w:val="28"/>
                <w:szCs w:val="28"/>
              </w:rPr>
              <w:t xml:space="preserve">Лот 1 </w:t>
            </w:r>
            <w:r w:rsidR="0020764C">
              <w:rPr>
                <w:sz w:val="28"/>
                <w:szCs w:val="28"/>
              </w:rPr>
              <w:t>–</w:t>
            </w:r>
            <w:r w:rsidRPr="00016663">
              <w:rPr>
                <w:sz w:val="28"/>
                <w:szCs w:val="28"/>
              </w:rPr>
              <w:t xml:space="preserve"> </w:t>
            </w:r>
            <w:r w:rsidR="0020764C">
              <w:rPr>
                <w:sz w:val="28"/>
                <w:szCs w:val="28"/>
              </w:rPr>
              <w:t>134 958,49</w:t>
            </w:r>
            <w:r w:rsidRPr="00016663">
              <w:rPr>
                <w:sz w:val="28"/>
                <w:szCs w:val="28"/>
              </w:rPr>
              <w:t xml:space="preserve"> (сто </w:t>
            </w:r>
            <w:r w:rsidR="0020764C">
              <w:rPr>
                <w:sz w:val="28"/>
                <w:szCs w:val="28"/>
              </w:rPr>
              <w:t>тридцать четыре тысячи девятьсот пятьдесят восемь</w:t>
            </w:r>
            <w:r w:rsidRPr="00016663">
              <w:rPr>
                <w:sz w:val="28"/>
                <w:szCs w:val="28"/>
              </w:rPr>
              <w:t xml:space="preserve">) рублей </w:t>
            </w:r>
            <w:r w:rsidR="0020764C">
              <w:rPr>
                <w:sz w:val="28"/>
                <w:szCs w:val="28"/>
              </w:rPr>
              <w:t>49</w:t>
            </w:r>
            <w:r w:rsidRPr="00016663">
              <w:rPr>
                <w:sz w:val="28"/>
                <w:szCs w:val="28"/>
              </w:rPr>
              <w:t xml:space="preserve"> копе</w:t>
            </w:r>
            <w:r w:rsidR="0020764C">
              <w:rPr>
                <w:sz w:val="28"/>
                <w:szCs w:val="28"/>
              </w:rPr>
              <w:t>ек</w:t>
            </w:r>
            <w:r w:rsidRPr="00016663">
              <w:rPr>
                <w:sz w:val="28"/>
                <w:szCs w:val="28"/>
              </w:rPr>
              <w:t>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Шаг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Шаг аукциона устанавливается в размере 5% процентов от начальной цены предмета аукциона.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Шаг аукциона: </w:t>
            </w:r>
          </w:p>
          <w:p w:rsidR="003E6032" w:rsidRPr="003E6032" w:rsidRDefault="003E6032" w:rsidP="0020764C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Лот 1 – </w:t>
            </w:r>
            <w:r w:rsidR="0020764C">
              <w:rPr>
                <w:sz w:val="28"/>
                <w:szCs w:val="28"/>
              </w:rPr>
              <w:t>6 747,92</w:t>
            </w:r>
            <w:r w:rsidRPr="007555C9">
              <w:rPr>
                <w:sz w:val="28"/>
                <w:szCs w:val="28"/>
              </w:rPr>
              <w:t xml:space="preserve"> (</w:t>
            </w:r>
            <w:r w:rsidR="0020764C">
              <w:rPr>
                <w:sz w:val="28"/>
                <w:szCs w:val="28"/>
              </w:rPr>
              <w:t>шесть тысяч семьсот сорок семь</w:t>
            </w:r>
            <w:r w:rsidRPr="007555C9">
              <w:rPr>
                <w:sz w:val="28"/>
                <w:szCs w:val="28"/>
              </w:rPr>
              <w:t>) рубл</w:t>
            </w:r>
            <w:r w:rsidR="0020764C">
              <w:rPr>
                <w:sz w:val="28"/>
                <w:szCs w:val="28"/>
              </w:rPr>
              <w:t>ей</w:t>
            </w:r>
            <w:r w:rsidRPr="007555C9">
              <w:rPr>
                <w:sz w:val="28"/>
                <w:szCs w:val="28"/>
              </w:rPr>
              <w:t xml:space="preserve"> </w:t>
            </w:r>
            <w:r w:rsidR="0020764C">
              <w:rPr>
                <w:sz w:val="28"/>
                <w:szCs w:val="28"/>
              </w:rPr>
              <w:t>92</w:t>
            </w:r>
            <w:r w:rsidRPr="007555C9">
              <w:rPr>
                <w:sz w:val="28"/>
                <w:szCs w:val="28"/>
              </w:rPr>
              <w:t xml:space="preserve"> копе</w:t>
            </w:r>
            <w:r>
              <w:rPr>
                <w:sz w:val="28"/>
                <w:szCs w:val="28"/>
              </w:rPr>
              <w:t>й</w:t>
            </w:r>
            <w:r w:rsidRPr="007555C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 w:rsidRPr="007555C9">
              <w:rPr>
                <w:sz w:val="28"/>
                <w:szCs w:val="28"/>
              </w:rPr>
              <w:t>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Размер задатка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Сумма задатка для участия в аукционе составляет 10 000 (десять тысяч) рублей 00 копеек. 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Порядок внесения и возврата задатков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lastRenderedPageBreak/>
              <w:t xml:space="preserve">Для участия в аукционе хозяйствующий субъект вносит задаток на банковские реквизиты оператора электронной площадки, размещенные в открытой части электронной площадки </w:t>
            </w:r>
            <w:hyperlink r:id="rId7" w:history="1">
              <w:r w:rsidRPr="007555C9">
                <w:rPr>
                  <w:sz w:val="28"/>
                  <w:szCs w:val="28"/>
                </w:rPr>
                <w:t>https://utp.sberbank-ast.ru/AP/Notice/653/Requisites</w:t>
              </w:r>
            </w:hyperlink>
            <w:r w:rsidRPr="007555C9">
              <w:rPr>
                <w:sz w:val="28"/>
                <w:szCs w:val="28"/>
              </w:rPr>
              <w:t>, до подачи заявки на участие в аукционе.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Реквизиты банковского счета: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ПОЛУЧАТЕЛЬ: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Наименование: АО "Сбербанк-АСТ"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ИНН: 7707308480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КПП: 770401001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Расчетный счет: 40702810300020038047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БАНК ПОЛУЧАТЕЛЯ: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Наименование банка: ПАО "СБЕРБАНК РОССИИ" Г. МОСКВА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БИК: 044525225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Корреспондентский счет: 30101810400000000225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Срок зачисления денежных средств на лицевой счет хозяйствующего субъекта – от 1 до 3 рабочих дней.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При зачислении денежных средств на лицевой счет пользователя, информация о сумме зачисленных средств отображается в личном кабинете хозяйствующего субъекта.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В случае, если перечисленные денежные средства не зачислены в вышеуказанный срок, необходимо проинформировать об этом оператора электронной площадки, направив обращение на адрес электронной почты </w:t>
            </w:r>
            <w:hyperlink r:id="rId8" w:history="1">
              <w:r w:rsidRPr="007555C9">
                <w:rPr>
                  <w:sz w:val="28"/>
                  <w:szCs w:val="28"/>
                </w:rPr>
                <w:t>property@sberbank-ast.ru</w:t>
              </w:r>
            </w:hyperlink>
            <w:r w:rsidRPr="007555C9">
              <w:rPr>
                <w:sz w:val="28"/>
                <w:szCs w:val="28"/>
              </w:rPr>
              <w:t xml:space="preserve"> с приложением документов, подтверждающих перечисление денежных средств (скан-копия платежного поручения или чек-ордер и т.п.).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Исполнение обязанности по внесению суммы задатка третьими лицами не допускается.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Задаток для участия в аукционе служит обеспечением исполнения обязательства победителя аукциона по заключению договора на размещение и вносится на счет хозяйствующего субъекта, открытый при регистрации на электронной площадке.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 лицевом счете хозяйствующего субъекта на электронной площадке и осуществляет блокирование необходимой суммы денежных средств.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 отзыва хозяйствующим субъектом заявки на участие в аукционе до окончания срока приема заявок оператором электронной площадки осуществляется прекращение блокировки операций по счету для проведения операций по обеспечению участия в аукционе в отношении денежных средств хозяйствующего субъекта в размере суммы задатка на участие в аукционе в день регистрации отзыва заявки.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В случае если хозяйствующий субъект не будет допущен к участию в аукционе, прекращение блокировки операций по счету для проведения операций по обеспечению участия в аукционе в отношении денежных средств </w:t>
            </w:r>
            <w:r w:rsidRPr="007555C9">
              <w:rPr>
                <w:sz w:val="28"/>
                <w:szCs w:val="28"/>
              </w:rPr>
              <w:lastRenderedPageBreak/>
              <w:t>в размере суммы задатка на участие в аукционе осуществляется в срок не позднее одного рабочего дня, следующего за днем подписания протокола рассмотрения заявок на участие в аукционе.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 если участник аукциона участвовал в аукционе, но не выиграл его,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в течение одного рабочего дня со дня размещения на электронной площадке протокола о результатах аукциона.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в течение одного рабочего дня со дня размещения на электронной площадке протокола о результатах аукциона.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Задаток, внесенный лицом, признанным победителем аукциона засчитывается в счет оплаты права заключить договор на размещение в размере права заключить договор на размещение, установленном по результатам аукциона, и подлежит перечислению в бюджет города Пыть-Ях.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Задатки, внесенные лицами, уклонившимися от заключения договоров на размещение, не возвращаются.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Вывод денежных средств с лицевого счета пользователя на электронной площадке осуществляется на основании заявления на вывод денежных средств, сформированного пользователем в своем Личном кабинете на электронной площадке (в подразделе «Мои заявления на вывод средств» раздела «Счета»). Необходимо оформить заявление на вывод денежных средств, в котором указывается сумма денежных средств для вывода, и подписать его электронной подписью. Комиссия за вывод денежных средств с электронной площадки не взимается. Ориентировочный срок поступления денежных средств на счет в Банке с момента вывода денежных средств с электронной площадки – до 3 рабочих дней.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lastRenderedPageBreak/>
              <w:t xml:space="preserve">Форма заявки, порядок приема и отзыва заявок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Для обеспечения доступа к участию в аукционе хозяйствующим субъектам необходимо пройти процедуру регистрации в соответствии с регламентом оператора электронной площадки, который размещен по адресу: </w:t>
            </w:r>
            <w:hyperlink r:id="rId9" w:history="1">
              <w:r w:rsidRPr="007555C9">
                <w:rPr>
                  <w:color w:val="0563C1"/>
                  <w:sz w:val="28"/>
                  <w:szCs w:val="28"/>
                  <w:u w:val="single"/>
                </w:rPr>
                <w:t>http://utp.sberbank-ast.ru/Main/Notice/988/Reglament</w:t>
              </w:r>
            </w:hyperlink>
            <w:r w:rsidRPr="007555C9">
              <w:rPr>
                <w:sz w:val="28"/>
                <w:szCs w:val="28"/>
              </w:rPr>
              <w:t>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Регистрации на электронной площадке подлежат хозяйствующие субъекты, ранее незарегистрированные на электронной площадке, или регистрация которых на электронной площадке была прекращена.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lastRenderedPageBreak/>
              <w:t xml:space="preserve">Инструкция по регистрации пользователя в торговой секции «Приватизация, аренда и продажа прав» электронной площадки АО «Сбербанк-АСТ» размещена по адресу: </w:t>
            </w:r>
            <w:hyperlink r:id="rId10" w:history="1">
              <w:r w:rsidRPr="007555C9">
                <w:rPr>
                  <w:color w:val="0563C1"/>
                  <w:sz w:val="28"/>
                  <w:szCs w:val="28"/>
                  <w:u w:val="single"/>
                </w:rPr>
                <w:t>http://utp.sberbank-ast.ru/AP/Notice/652/Instructions</w:t>
              </w:r>
            </w:hyperlink>
            <w:r w:rsidRPr="007555C9">
              <w:rPr>
                <w:sz w:val="28"/>
                <w:szCs w:val="28"/>
              </w:rPr>
              <w:t>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Для участия в аукционе хозяйствующий субъект, зарегистрированный на электронной площадке в установленном порядке, подает в электронной форме: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- заявку на участие в аукционе по форме согласно Приложению № 4 к Аукционной документации;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- копия документа, удостоверяющего личность заявителя - индивидуального предпринимателя или его представителя, представителя юридического лица;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- копия документа,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-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Заявка на участие в аукционе направляется хозяйствующим субъектом оператору электронной площадки в виде электронного документа, подписанного электронной подписью хозяйствующего субъекта.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 если электронная площадка не принимает заявку на участие в аукционе, оператор электронной площадки уведомляет хозяйствующего субъекта соответствующим системным сообщением о причине непринятия заявки.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b/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Один хозяйствующий субъект вправе подать только одну заявку на участие в аукционе в отношении одного предмета аукциона (лота).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Прием заявок на участие в аукционе прекращается не ранее чем за 3 дней до дня проведения аукциона.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Заявка на участие в аукционе оператором электронной площадки не принимается в следующих случаях: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1) при поступлении заявки по истечении установленного в извещении о проведении аукциона срока приема заявок;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2) при отсутствии денежных средств в размере задатка на лицевом счете, открытом заявителю оператором электронной площадки для учета проведения операций по обеспечению участия в аукционе;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3) подачи одним заявителем двух и более заявок на участие в открытом аукционе при условии, что поданные ранее заявки заявителем не отозваны.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этом случае заявителю возвращаются все поданные заявки на участие в аукционе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lastRenderedPageBreak/>
              <w:t>До дня окончания срока подачи заявок</w:t>
            </w:r>
            <w:r w:rsidRPr="007555C9">
              <w:rPr>
                <w:sz w:val="28"/>
                <w:szCs w:val="28"/>
              </w:rPr>
              <w:t xml:space="preserve"> заявитель, подавший заявку, вправе изменить или отозвать её.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Изменение заявки осуществляется путем отзыва ранее поданной и подачи новой заявки.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 отзыва заявки до окончания срока подачи заявок, оператор электронной площадки в течение одного часа прекращает блокирование денежных средств, заблокированных на лицевом счете в размере задатка.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lastRenderedPageBreak/>
              <w:t xml:space="preserve">Дата и временя начала/окончания приема заявок на участие в аукционе,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дата окончания срока рассмотрения заявок на участие в аукционе.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016663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016663">
              <w:rPr>
                <w:sz w:val="28"/>
                <w:szCs w:val="28"/>
              </w:rPr>
              <w:t>Заявки на участие в аукционе подаются на электронную площадку, начиная с времени и даты начала приема заявок на участие в аукционе до времени и даты окончания приема заявок на участие в аукционе.</w:t>
            </w:r>
          </w:p>
          <w:p w:rsidR="003E6032" w:rsidRPr="00016663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016663">
              <w:rPr>
                <w:b/>
                <w:sz w:val="28"/>
                <w:szCs w:val="28"/>
              </w:rPr>
              <w:t>Начало приема заявок на участие в аукционе</w:t>
            </w:r>
            <w:r w:rsidRPr="00016663">
              <w:rPr>
                <w:sz w:val="28"/>
                <w:szCs w:val="28"/>
              </w:rPr>
              <w:t xml:space="preserve"> – с 08:00 по местному времени (06:00 – время московское) 26.08.2024г.</w:t>
            </w:r>
          </w:p>
          <w:p w:rsidR="003E6032" w:rsidRPr="00016663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016663">
              <w:rPr>
                <w:b/>
                <w:sz w:val="28"/>
                <w:szCs w:val="28"/>
              </w:rPr>
              <w:t>Окончание приема заявок на участие в аукционе</w:t>
            </w:r>
            <w:r w:rsidRPr="00016663">
              <w:rPr>
                <w:sz w:val="28"/>
                <w:szCs w:val="28"/>
              </w:rPr>
              <w:t xml:space="preserve"> – до 23:59 по местному времени (21:59 – время московское) 23.09.2024г.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016663">
              <w:rPr>
                <w:b/>
                <w:sz w:val="28"/>
                <w:szCs w:val="28"/>
              </w:rPr>
              <w:t>Рассмотрение заявок и документов заявителей, допуск их к участию в аукционе</w:t>
            </w:r>
            <w:r w:rsidRPr="00016663">
              <w:rPr>
                <w:sz w:val="28"/>
                <w:szCs w:val="28"/>
              </w:rPr>
              <w:t xml:space="preserve"> – 24.09.2024г.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Порядок заключения Договора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Организатор аукциона в течение 5 рабочих дней со дня размещения на электронной площадке протокола о результатах аукциона, направляет (вручает в случае личного обращения) победителю аукциона или единственному принявшему участие в аукционе два экземпляра подписанного проекта договора на размещение нестационарного торгового объекта. При этом размер платы по договору на размещение нестационарного торгового объекта определяется в размере, предложенном победителем аукциона, за исключением суммы задатка, внесенного для участия в аукционе.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случае, если в течение 5 рабочих дней со дня размещения протокола о результатах аукциона на официальном сайте победитель аукциона не представил подписанный им проект договора, организатор аукциона заключает указанный договор с участником аукциона, который сделал предпоследнее предложение о цене предмета аукциона (лота), при этом срок направления (вручения) проекта договора для подписания участнику аукциона, который сделал предпоследнее предложение о цене предмета аукциона (лота), составляет 5 рабочих дней со дня истечения срока, установленного настоящим пунктом для представления подписанного договора победителем аукциона.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       Победитель аукциона или единственный участник аукциона, не представившие в установленный срок проект подписанного ими Договора, признаются уклонившимися от заключения Договора, денежные средства, внесенные ими в качестве задатка, не возвращаются, а подлежат перечислению в доход бюджета города Пыть-Ях оператором электронной площадки.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lastRenderedPageBreak/>
              <w:t>В случае, если участник аукциона, который сделал предпоследнее предложение о цене аукциона, уклонился от подписания договора, денежные средства, внесенные им в качестве задатка, также не возвращаются, подлежат перечислению в доход бюджета города Пыть-Ях оператором электронной площадки.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Проект договора на размещение нестационарного торгового объекта - Приложение № 2 к аукционной документации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</w:tc>
      </w:tr>
    </w:tbl>
    <w:p w:rsidR="00627603" w:rsidRDefault="00627603"/>
    <w:sectPr w:rsidR="0062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52"/>
    <w:rsid w:val="00016663"/>
    <w:rsid w:val="00131D52"/>
    <w:rsid w:val="0020764C"/>
    <w:rsid w:val="003E6032"/>
    <w:rsid w:val="00627603"/>
    <w:rsid w:val="007B2302"/>
    <w:rsid w:val="00C62251"/>
    <w:rsid w:val="00F1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06750-9A4C-4200-9AB3-8EDEB1CE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berbank-a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berbank-ast.ru/" TargetMode="External"/><Relationship Id="rId10" Type="http://schemas.openxmlformats.org/officeDocument/2006/relationships/hyperlink" Target="http://utp.sberbank-ast.ru/AP/Notice/652/Instructions" TargetMode="External"/><Relationship Id="rId4" Type="http://schemas.openxmlformats.org/officeDocument/2006/relationships/hyperlink" Target="mailto:ekonom@gov86.org" TargetMode="External"/><Relationship Id="rId9" Type="http://schemas.openxmlformats.org/officeDocument/2006/relationships/hyperlink" Target="http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dc:description/>
  <cp:lastModifiedBy>Любовь Бондаренко</cp:lastModifiedBy>
  <cp:revision>7</cp:revision>
  <dcterms:created xsi:type="dcterms:W3CDTF">2024-08-20T11:52:00Z</dcterms:created>
  <dcterms:modified xsi:type="dcterms:W3CDTF">2024-08-22T10:51:00Z</dcterms:modified>
</cp:coreProperties>
</file>