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2F" w:rsidRDefault="001C6E2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C6E2F" w:rsidRDefault="001C6E2F">
      <w:pPr>
        <w:pStyle w:val="ConsPlusNormal"/>
        <w:outlineLvl w:val="0"/>
      </w:pPr>
    </w:p>
    <w:p w:rsidR="001C6E2F" w:rsidRDefault="001C6E2F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1C6E2F" w:rsidRDefault="001C6E2F">
      <w:pPr>
        <w:pStyle w:val="ConsPlusTitle"/>
        <w:jc w:val="center"/>
      </w:pPr>
    </w:p>
    <w:p w:rsidR="001C6E2F" w:rsidRDefault="001C6E2F">
      <w:pPr>
        <w:pStyle w:val="ConsPlusTitle"/>
        <w:jc w:val="center"/>
      </w:pPr>
      <w:r>
        <w:t>ПОСТАНОВЛЕНИЕ</w:t>
      </w:r>
    </w:p>
    <w:p w:rsidR="001C6E2F" w:rsidRDefault="001C6E2F">
      <w:pPr>
        <w:pStyle w:val="ConsPlusTitle"/>
        <w:jc w:val="center"/>
      </w:pPr>
      <w:r>
        <w:t>от 25 октября 2022 г. N 141</w:t>
      </w:r>
    </w:p>
    <w:p w:rsidR="001C6E2F" w:rsidRDefault="001C6E2F">
      <w:pPr>
        <w:pStyle w:val="ConsPlusTitle"/>
        <w:jc w:val="center"/>
      </w:pPr>
    </w:p>
    <w:p w:rsidR="001C6E2F" w:rsidRDefault="001C6E2F">
      <w:pPr>
        <w:pStyle w:val="ConsPlusTitle"/>
        <w:jc w:val="center"/>
      </w:pPr>
      <w:r>
        <w:t>О КОНКУРСЕ "ЛИДЕРЫ ЮГРЫ" И ПРИЗНАНИИ УТРАТИВШИМИ СИЛУ</w:t>
      </w:r>
    </w:p>
    <w:p w:rsidR="001C6E2F" w:rsidRDefault="001C6E2F">
      <w:pPr>
        <w:pStyle w:val="ConsPlusTitle"/>
        <w:jc w:val="center"/>
      </w:pPr>
      <w:r>
        <w:t>НЕКОТОРЫХ ПОСТАНОВЛЕНИЙ ГУБЕРНАТОРА ХАНТЫ-МАНСИЙСКОГО</w:t>
      </w:r>
    </w:p>
    <w:p w:rsidR="001C6E2F" w:rsidRDefault="001C6E2F">
      <w:pPr>
        <w:pStyle w:val="ConsPlusTitle"/>
        <w:jc w:val="center"/>
      </w:pPr>
      <w:r>
        <w:t>АВТОНОМНОГО ОКРУГА - ЮГРЫ</w:t>
      </w:r>
    </w:p>
    <w:p w:rsidR="001C6E2F" w:rsidRDefault="001C6E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6E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E2F" w:rsidRDefault="001C6E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E2F" w:rsidRDefault="001C6E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6E2F" w:rsidRDefault="001C6E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6E2F" w:rsidRDefault="001C6E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26.07.2023 </w:t>
            </w:r>
            <w:hyperlink r:id="rId5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>,</w:t>
            </w:r>
          </w:p>
          <w:p w:rsidR="001C6E2F" w:rsidRDefault="001C6E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24.05.2024 </w:t>
            </w:r>
            <w:hyperlink r:id="rId6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E2F" w:rsidRDefault="001C6E2F">
            <w:pPr>
              <w:pStyle w:val="ConsPlusNormal"/>
            </w:pPr>
          </w:p>
        </w:tc>
      </w:tr>
    </w:tbl>
    <w:p w:rsidR="001C6E2F" w:rsidRDefault="001C6E2F">
      <w:pPr>
        <w:pStyle w:val="ConsPlusNormal"/>
        <w:ind w:firstLine="540"/>
        <w:jc w:val="both"/>
      </w:pPr>
    </w:p>
    <w:p w:rsidR="001C6E2F" w:rsidRDefault="001C6E2F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19 ноября 2001 года N 75-оз "О Губернаторе Ханты-Мансийского автономного округа - Югры",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10 ноября 2023 года N 556-п "Развитие государственной гражданской и муниципальной службы", в целях повышения престижа государственной гражданской и муниципальной службы в Ханты-Мансийском автономном округе - Югре, распространения передового опыта в области государственного и муниципального управления, мотивации деятельности государственных гражданских и муниципальных служащих Ханты-Мансийского автономного округа - Югры и вовлечения их в процессы, направленные на достижение национальных целей развития, выявления наиболее перспективных руководителей и специалистов новой формации для системы государственного и муниципального управления, молодых кадров с управленческим потенциалом, повышения престижа государственной гражданской и муниципальной службы в Ханты-Мансийском автономном округе - Югре постановляю:</w:t>
      </w:r>
    </w:p>
    <w:p w:rsidR="001C6E2F" w:rsidRDefault="001C6E2F">
      <w:pPr>
        <w:pStyle w:val="ConsPlusNormal"/>
        <w:jc w:val="both"/>
      </w:pPr>
      <w:r>
        <w:t xml:space="preserve">(в ред. постановлений Губернатора ХМАО - Югры от 26.07.2023 </w:t>
      </w:r>
      <w:hyperlink r:id="rId9">
        <w:r>
          <w:rPr>
            <w:color w:val="0000FF"/>
          </w:rPr>
          <w:t>N 112</w:t>
        </w:r>
      </w:hyperlink>
      <w:r>
        <w:t xml:space="preserve">, от 24.05.2024 </w:t>
      </w:r>
      <w:hyperlink r:id="rId10">
        <w:r>
          <w:rPr>
            <w:color w:val="0000FF"/>
          </w:rPr>
          <w:t>N 55</w:t>
        </w:r>
      </w:hyperlink>
      <w:r>
        <w:t>)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7">
        <w:r>
          <w:rPr>
            <w:color w:val="0000FF"/>
          </w:rPr>
          <w:t>Положение</w:t>
        </w:r>
      </w:hyperlink>
      <w:r>
        <w:t xml:space="preserve"> о конкурсе "Лидеры Югры".</w:t>
      </w:r>
    </w:p>
    <w:p w:rsidR="001C6E2F" w:rsidRDefault="001C6E2F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Губернатора ХМАО - Югры от 26.07.2023 N 112)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2.1. Постановления Губернатора Ханты-Мансийского автономного округа - Югры: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 xml:space="preserve">от 25 сентября 2008 года </w:t>
      </w:r>
      <w:hyperlink r:id="rId12">
        <w:r>
          <w:rPr>
            <w:color w:val="0000FF"/>
          </w:rPr>
          <w:t>N 132</w:t>
        </w:r>
      </w:hyperlink>
      <w:r>
        <w:t xml:space="preserve"> "Об утверждении Положения о проведении ежегодного конкурса "Лучший муниципальный служащий Ханты-Мансийского автономного округа - Югры";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 xml:space="preserve">от 19 февраля 2009 года </w:t>
      </w:r>
      <w:hyperlink r:id="rId13">
        <w:r>
          <w:rPr>
            <w:color w:val="0000FF"/>
          </w:rPr>
          <w:t>N 21</w:t>
        </w:r>
      </w:hyperlink>
      <w:r>
        <w:t xml:space="preserve"> "О внесении изменений в постановление Губернатора автономного округа от 25 сентября 2008 года N 132";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 xml:space="preserve">от 11 октября 2010 года </w:t>
      </w:r>
      <w:hyperlink r:id="rId14">
        <w:r>
          <w:rPr>
            <w:color w:val="0000FF"/>
          </w:rPr>
          <w:t>N 194</w:t>
        </w:r>
      </w:hyperlink>
      <w:r>
        <w:t xml:space="preserve"> "О внесении изменений в постановление Губернатора Ханты-Мансийского автономного округа - Югры от 25 сентября 2008 года N 132 "Об утверждении Положения о проведении ежегодного конкурса "Лучший муниципальный служащий Ханты-Мансийского автономного округа - Югры";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 xml:space="preserve">от 30 августа 2013 года </w:t>
      </w:r>
      <w:hyperlink r:id="rId15">
        <w:r>
          <w:rPr>
            <w:color w:val="0000FF"/>
          </w:rPr>
          <w:t>N 114</w:t>
        </w:r>
      </w:hyperlink>
      <w:r>
        <w:t xml:space="preserve"> "О внесении изменений в постановление Губернатора Ханты-Мансийского автономного округа - Югры от 25 сентября 2008 года N 132 "Об утверждении Положения о проведении ежегодного конкурса "Лучший муниципальный служащий Ханты-Мансийского автономного округа - Югры";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 xml:space="preserve">от 13 мая 2014 года </w:t>
      </w:r>
      <w:hyperlink r:id="rId16">
        <w:r>
          <w:rPr>
            <w:color w:val="0000FF"/>
          </w:rPr>
          <w:t>N 55</w:t>
        </w:r>
      </w:hyperlink>
      <w:r>
        <w:t xml:space="preserve"> "О внесении изменений в приложение 1 к постановлению </w:t>
      </w:r>
      <w:r>
        <w:lastRenderedPageBreak/>
        <w:t>Губернатора Ханты-Мансийского автономного округа - Югры от 25 сентября 2008 года N 132 "Об утверждении Положения о проведении ежегодного конкурса "Лучший муниципальный служащий Ханты-Мансийского автономного округа - Югры";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 xml:space="preserve">от 4 сентября 2015 года </w:t>
      </w:r>
      <w:hyperlink r:id="rId17">
        <w:r>
          <w:rPr>
            <w:color w:val="0000FF"/>
          </w:rPr>
          <w:t>N 94</w:t>
        </w:r>
      </w:hyperlink>
      <w:r>
        <w:t xml:space="preserve"> "О внесении изменений в постановление Губернатора Ханты-Мансийского автономного округа - Югры от 25 сентября 2008 года N 132 "Об утверждении Положения о проведении ежегодного конкурса "Лучший муниципальный служащий Ханты-Мансийского автономного округа - Югры";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 xml:space="preserve">от 21 июня 2019 года </w:t>
      </w:r>
      <w:hyperlink r:id="rId18">
        <w:r>
          <w:rPr>
            <w:color w:val="0000FF"/>
          </w:rPr>
          <w:t>N 34</w:t>
        </w:r>
      </w:hyperlink>
      <w:r>
        <w:t xml:space="preserve"> "О конкурсе "Лучший государственный гражданский служащий Ханты-Мансийского автономного округа - Югры";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 xml:space="preserve">от 29 ноября 2019 года </w:t>
      </w:r>
      <w:hyperlink r:id="rId19">
        <w:r>
          <w:rPr>
            <w:color w:val="0000FF"/>
          </w:rPr>
          <w:t>N 93</w:t>
        </w:r>
      </w:hyperlink>
      <w:r>
        <w:t xml:space="preserve"> "О внесении изменений в постановление Губернатора Ханты-Мансийского автономного округа - Югры от 25 сентября 2008 года N 132 "Об утверждении Положения о проведении ежегодного конкурса "Лучший муниципальный служащий Ханты-Мансийского автономного округа - Югры";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 xml:space="preserve">от 11 августа 2020 года </w:t>
      </w:r>
      <w:hyperlink r:id="rId20">
        <w:r>
          <w:rPr>
            <w:color w:val="0000FF"/>
          </w:rPr>
          <w:t>N 103</w:t>
        </w:r>
      </w:hyperlink>
      <w:r>
        <w:t xml:space="preserve"> "О внесении изменений в некоторые постановления Губернатора Ханты-Мансийского автономного округа - Югры".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 xml:space="preserve">2.2. </w:t>
      </w:r>
      <w:hyperlink r:id="rId21">
        <w:r>
          <w:rPr>
            <w:color w:val="0000FF"/>
          </w:rPr>
          <w:t>Пункт 5</w:t>
        </w:r>
      </w:hyperlink>
      <w:r>
        <w:t xml:space="preserve"> постановления Губернатора Ханты-Мансийского автономного округа - Югры от 21 марта 2014 года N 30 "О внесении изменений в некоторые постановления Губернатора Ханты-Мансийского автономного округа - Югры".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 xml:space="preserve">2.3. </w:t>
      </w:r>
      <w:hyperlink r:id="rId22">
        <w:r>
          <w:rPr>
            <w:color w:val="0000FF"/>
          </w:rPr>
          <w:t>Пункт 3</w:t>
        </w:r>
      </w:hyperlink>
      <w:r>
        <w:t xml:space="preserve"> постановления Губернатора Ханты-Мансийского автономного округа - Югры от 16 августа 2018 года N 80 "О внесении изменений в некоторые постановления Губернатора Ханты-Мансийского автономного округа - Югры".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 xml:space="preserve">2.4. </w:t>
      </w:r>
      <w:hyperlink r:id="rId23">
        <w:r>
          <w:rPr>
            <w:color w:val="0000FF"/>
          </w:rPr>
          <w:t>Пункты 3</w:t>
        </w:r>
      </w:hyperlink>
      <w:r>
        <w:t xml:space="preserve">, </w:t>
      </w:r>
      <w:hyperlink r:id="rId24">
        <w:r>
          <w:rPr>
            <w:color w:val="0000FF"/>
          </w:rPr>
          <w:t>12</w:t>
        </w:r>
      </w:hyperlink>
      <w:r>
        <w:t xml:space="preserve"> постановления Губернатора Ханты-Мансийского автономного округа - Югры от 14 сентября 2022 года N 118 "О внесении изменений в некоторые постановления Губернатора Ханты-Мансийского автономного округа - Югры".</w:t>
      </w:r>
    </w:p>
    <w:p w:rsidR="001C6E2F" w:rsidRDefault="001C6E2F">
      <w:pPr>
        <w:pStyle w:val="ConsPlusNormal"/>
        <w:ind w:firstLine="540"/>
        <w:jc w:val="both"/>
      </w:pPr>
    </w:p>
    <w:p w:rsidR="001C6E2F" w:rsidRDefault="001C6E2F">
      <w:pPr>
        <w:pStyle w:val="ConsPlusNormal"/>
        <w:jc w:val="right"/>
      </w:pPr>
      <w:r>
        <w:t>Губернатор</w:t>
      </w:r>
    </w:p>
    <w:p w:rsidR="001C6E2F" w:rsidRDefault="001C6E2F">
      <w:pPr>
        <w:pStyle w:val="ConsPlusNormal"/>
        <w:jc w:val="right"/>
      </w:pPr>
      <w:r>
        <w:t>Ханты-Мансийского</w:t>
      </w:r>
    </w:p>
    <w:p w:rsidR="001C6E2F" w:rsidRDefault="001C6E2F">
      <w:pPr>
        <w:pStyle w:val="ConsPlusNormal"/>
        <w:jc w:val="right"/>
      </w:pPr>
      <w:r>
        <w:t>автономного округа - Югры</w:t>
      </w:r>
    </w:p>
    <w:p w:rsidR="001C6E2F" w:rsidRDefault="001C6E2F">
      <w:pPr>
        <w:pStyle w:val="ConsPlusNormal"/>
        <w:jc w:val="right"/>
      </w:pPr>
      <w:r>
        <w:t>Н.В.КОМАРОВА</w:t>
      </w:r>
    </w:p>
    <w:p w:rsidR="001C6E2F" w:rsidRDefault="001C6E2F">
      <w:pPr>
        <w:pStyle w:val="ConsPlusNormal"/>
      </w:pPr>
    </w:p>
    <w:p w:rsidR="001C6E2F" w:rsidRDefault="001C6E2F">
      <w:pPr>
        <w:pStyle w:val="ConsPlusNormal"/>
      </w:pPr>
    </w:p>
    <w:p w:rsidR="001C6E2F" w:rsidRDefault="001C6E2F">
      <w:pPr>
        <w:pStyle w:val="ConsPlusNormal"/>
      </w:pPr>
    </w:p>
    <w:p w:rsidR="001C6E2F" w:rsidRDefault="001C6E2F">
      <w:pPr>
        <w:pStyle w:val="ConsPlusNormal"/>
      </w:pPr>
    </w:p>
    <w:p w:rsidR="001C6E2F" w:rsidRDefault="001C6E2F">
      <w:pPr>
        <w:pStyle w:val="ConsPlusNormal"/>
      </w:pPr>
    </w:p>
    <w:p w:rsidR="001C6E2F" w:rsidRDefault="001C6E2F">
      <w:pPr>
        <w:pStyle w:val="ConsPlusNormal"/>
        <w:jc w:val="right"/>
        <w:outlineLvl w:val="0"/>
      </w:pPr>
      <w:r>
        <w:t>Приложение</w:t>
      </w:r>
    </w:p>
    <w:p w:rsidR="001C6E2F" w:rsidRDefault="001C6E2F">
      <w:pPr>
        <w:pStyle w:val="ConsPlusNormal"/>
        <w:jc w:val="right"/>
      </w:pPr>
      <w:r>
        <w:t>к постановлению Губернатора</w:t>
      </w:r>
    </w:p>
    <w:p w:rsidR="001C6E2F" w:rsidRDefault="001C6E2F">
      <w:pPr>
        <w:pStyle w:val="ConsPlusNormal"/>
        <w:jc w:val="right"/>
      </w:pPr>
      <w:r>
        <w:t>Ханты-Мансийского</w:t>
      </w:r>
    </w:p>
    <w:p w:rsidR="001C6E2F" w:rsidRDefault="001C6E2F">
      <w:pPr>
        <w:pStyle w:val="ConsPlusNormal"/>
        <w:jc w:val="right"/>
      </w:pPr>
      <w:r>
        <w:t>автономного округа - Югры</w:t>
      </w:r>
    </w:p>
    <w:p w:rsidR="001C6E2F" w:rsidRDefault="001C6E2F">
      <w:pPr>
        <w:pStyle w:val="ConsPlusNormal"/>
        <w:jc w:val="right"/>
      </w:pPr>
      <w:r>
        <w:t>от 25 октября 2022 года N 141</w:t>
      </w:r>
    </w:p>
    <w:p w:rsidR="001C6E2F" w:rsidRDefault="001C6E2F">
      <w:pPr>
        <w:pStyle w:val="ConsPlusNormal"/>
      </w:pPr>
    </w:p>
    <w:p w:rsidR="001C6E2F" w:rsidRDefault="001C6E2F">
      <w:pPr>
        <w:pStyle w:val="ConsPlusTitle"/>
        <w:jc w:val="center"/>
      </w:pPr>
      <w:bookmarkStart w:id="0" w:name="P47"/>
      <w:bookmarkEnd w:id="0"/>
      <w:r>
        <w:t>ПОЛОЖЕНИЕ</w:t>
      </w:r>
    </w:p>
    <w:p w:rsidR="001C6E2F" w:rsidRDefault="001C6E2F">
      <w:pPr>
        <w:pStyle w:val="ConsPlusTitle"/>
        <w:jc w:val="center"/>
      </w:pPr>
      <w:r>
        <w:t>О КОНКУРСЕ "ЛИДЕРЫ ЮГРЫ" (ДАЛЕЕ - ПОЛОЖЕНИЕ)</w:t>
      </w:r>
    </w:p>
    <w:p w:rsidR="001C6E2F" w:rsidRDefault="001C6E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6E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E2F" w:rsidRDefault="001C6E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E2F" w:rsidRDefault="001C6E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6E2F" w:rsidRDefault="001C6E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6E2F" w:rsidRDefault="001C6E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26.07.2023 </w:t>
            </w:r>
            <w:hyperlink r:id="rId25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>,</w:t>
            </w:r>
          </w:p>
          <w:p w:rsidR="001C6E2F" w:rsidRDefault="001C6E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24.05.2024 </w:t>
            </w:r>
            <w:hyperlink r:id="rId26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E2F" w:rsidRDefault="001C6E2F">
            <w:pPr>
              <w:pStyle w:val="ConsPlusNormal"/>
            </w:pPr>
          </w:p>
        </w:tc>
      </w:tr>
    </w:tbl>
    <w:p w:rsidR="001C6E2F" w:rsidRDefault="001C6E2F">
      <w:pPr>
        <w:pStyle w:val="ConsPlusNormal"/>
      </w:pPr>
    </w:p>
    <w:p w:rsidR="001C6E2F" w:rsidRDefault="001C6E2F">
      <w:pPr>
        <w:pStyle w:val="ConsPlusTitle"/>
        <w:jc w:val="center"/>
        <w:outlineLvl w:val="1"/>
      </w:pPr>
      <w:r>
        <w:lastRenderedPageBreak/>
        <w:t>Раздел I. ОБЩИЕ ПОЛОЖЕНИЯ</w:t>
      </w:r>
    </w:p>
    <w:p w:rsidR="001C6E2F" w:rsidRDefault="001C6E2F">
      <w:pPr>
        <w:pStyle w:val="ConsPlusNormal"/>
        <w:ind w:firstLine="540"/>
        <w:jc w:val="both"/>
      </w:pPr>
    </w:p>
    <w:p w:rsidR="001C6E2F" w:rsidRDefault="001C6E2F">
      <w:pPr>
        <w:pStyle w:val="ConsPlusNormal"/>
        <w:ind w:firstLine="540"/>
        <w:jc w:val="both"/>
      </w:pPr>
      <w:r>
        <w:t>1.1. Положение определяет цели и задачи, номинации и категории, порядок информационного сопровождения и проведения конкурса "Лидеры Югры" (далее - конкурс, автономный округ).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1.2. В Положении применяются следующие понятия: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участник конкурса - гражданин Российской Федерации, зарегистрированный на официальном интернет-сайте конкурса государственный гражданский, муниципальный служащий автономного округа, или студент высшего учебного заведения, учащийся 10, 11 класса средней общеобразовательной школы, или сотрудник учреждения (организации, предприятия), которое находится в ведении или отраслевой принадлежности исполнительного органа автономного округа или органа местного самоуправления муниципального образования автономного округа, или представитель бизнес-сообщества, некоммерческой организации;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рейтинг - индивидуальный числовой показатель, составленный по результатам всех этапов конкурса;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организатор конкурса - Департамент государственной гражданской службы, кадровой политики и профилактики коррупции автономного округа;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оператор конкурса - автономное учреждение автономного округа "Региональный институт управления";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конкурсная комиссия - коллегиальный орган, осуществляющий оценку конкурсных проектов, определяющий победителей конкурса по результатам их защиты, в том числе для награждения дипломом "За лучшее рациональное предложение";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финалист конкурса - участник конкурса, допущенный к этапу защиты конкурсного проекта;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победитель конкурса - участник конкурса, набравший наибольшее количество баллов по результатам испытаний, в том числе защиты конкурсных проектов;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призер конкурса - участник конкурса, признанный лучшим по результатам онлайн-голосования финалистов конкурса;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официальный интернет-сайт конкурса - Управленческий портал "Команда Югры" (ugrateam.admhmao.ru);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личный кабинет - аккаунт участника конкурса на официальном интернет-сайте конкурса;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конкурсный проект - проект, содержащий рациональное предложение участника конкурса по улучшению качества жизни населения автономного округа, повышению эффективности государственного и муниципального управления (предложение должно быть не реализовано ранее).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1.3. К участию в конкурсе не допускаются граждане, в том числе государственные гражданские и муниципальные служащие, признанные победителями конкурса, а также конкурсов "Лучший государственный гражданский и муниципальный служащий Ханты-Мансийского автономного округа - Югры", "Будущий управленец", со дня проведения которых прошло менее 3 лет.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 xml:space="preserve">1.4. Конкурс проводится за счет средств, предусмотренных на реализацию комплекса процессных мероприятий "Развитие кадровых, антикоррупционных технологий и кадрового состава" </w:t>
      </w:r>
      <w:hyperlink r:id="rId27">
        <w:r>
          <w:rPr>
            <w:color w:val="0000FF"/>
          </w:rPr>
          <w:t>направления</w:t>
        </w:r>
      </w:hyperlink>
      <w:r>
        <w:t xml:space="preserve"> (подпрограммы) "Повышение эффективности механизмов государственного </w:t>
      </w:r>
      <w:r>
        <w:lastRenderedPageBreak/>
        <w:t>и муниципального управления" государственной программы автономного округа "Развитие государственной гражданской и муниципальной службы", утвержденной постановлением Правительства автономного округа от 10 ноября 2023 года N 556-п.</w:t>
      </w:r>
    </w:p>
    <w:p w:rsidR="001C6E2F" w:rsidRDefault="001C6E2F">
      <w:pPr>
        <w:pStyle w:val="ConsPlusNormal"/>
        <w:jc w:val="both"/>
      </w:pPr>
      <w:r>
        <w:t xml:space="preserve">(п. 1.4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Губернатора ХМАО - Югры от 24.05.2024 N 55)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1.5. Расходы на участие в очном этапе конкурса осуществляются за счет денежных средств участника, направляющей стороны или спонсоров.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1.6. Материалы, представленные участниками на конкурс, не возвращаются.</w:t>
      </w:r>
    </w:p>
    <w:p w:rsidR="001C6E2F" w:rsidRDefault="001C6E2F">
      <w:pPr>
        <w:pStyle w:val="ConsPlusNormal"/>
        <w:ind w:firstLine="540"/>
        <w:jc w:val="both"/>
      </w:pPr>
    </w:p>
    <w:p w:rsidR="001C6E2F" w:rsidRDefault="001C6E2F">
      <w:pPr>
        <w:pStyle w:val="ConsPlusTitle"/>
        <w:jc w:val="center"/>
        <w:outlineLvl w:val="1"/>
      </w:pPr>
      <w:r>
        <w:t>Раздел II. ЦЕЛИ И ЗАДАЧИ КОНКУРСА</w:t>
      </w:r>
    </w:p>
    <w:p w:rsidR="001C6E2F" w:rsidRDefault="001C6E2F">
      <w:pPr>
        <w:pStyle w:val="ConsPlusNormal"/>
        <w:jc w:val="center"/>
      </w:pPr>
    </w:p>
    <w:p w:rsidR="001C6E2F" w:rsidRDefault="001C6E2F">
      <w:pPr>
        <w:pStyle w:val="ConsPlusNormal"/>
        <w:ind w:firstLine="540"/>
        <w:jc w:val="both"/>
      </w:pPr>
      <w:r>
        <w:t>2.1. Конкурс проводится ежегодно в целях повышения престижа государственной гражданской и муниципальной службы, создания условий для развития кадрового потенциала системы государственного управления и местного самоуправления в стратегической перспективе, включая развитие кадрового потенциала государственных и муниципальных организаций автономного округа, путем привлечения перспективных руководителей и специалистов новой формации, а также раскрытия профессионального и творческого потенциала государственных гражданских и муниципальных служащих автономного округа.</w:t>
      </w:r>
    </w:p>
    <w:p w:rsidR="001C6E2F" w:rsidRDefault="001C6E2F">
      <w:pPr>
        <w:pStyle w:val="ConsPlusNormal"/>
        <w:spacing w:before="220"/>
        <w:ind w:firstLine="540"/>
        <w:jc w:val="both"/>
      </w:pPr>
      <w:bookmarkStart w:id="1" w:name="P77"/>
      <w:bookmarkEnd w:id="1"/>
      <w:r>
        <w:t>2.2. Задачами конкурса являются: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2.2.1. Выявление и поддержка кадров с управленческим потенциалом.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2.2.2. Раскрытие профессионального и творческого потенциала участников конкурса.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2.2.3. Распространение передового опыта государственного и муниципального управления в автономном округе.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2.2.4. Профессиональное развитие государственных гражданских и муниципальных служащих автономного округа, лиц, состоящих в кадровых резервах автономного округа.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2.2.5. Мотивация участников конкурса к поиску решений и созданию проектов, направленных на достижение целей развития автономного округа, а также на реализацию проектов, способствующих достижению национальных целей развития.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2.2.6. Совершенствование культуры государственной гражданской и муниципальной службы в автономном округе.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2.2.7. Выявление и поддержка наиболее перспективных руководителей новой формации для системы государственного управления.</w:t>
      </w:r>
    </w:p>
    <w:p w:rsidR="001C6E2F" w:rsidRDefault="001C6E2F">
      <w:pPr>
        <w:pStyle w:val="ConsPlusNormal"/>
        <w:ind w:firstLine="540"/>
        <w:jc w:val="both"/>
      </w:pPr>
    </w:p>
    <w:p w:rsidR="001C6E2F" w:rsidRDefault="001C6E2F">
      <w:pPr>
        <w:pStyle w:val="ConsPlusTitle"/>
        <w:jc w:val="center"/>
        <w:outlineLvl w:val="1"/>
      </w:pPr>
      <w:bookmarkStart w:id="2" w:name="P86"/>
      <w:bookmarkEnd w:id="2"/>
      <w:r>
        <w:t>Раздел III. НОМИНАЦИИ И КАТЕГОРИИ КОНКУРСА</w:t>
      </w:r>
    </w:p>
    <w:p w:rsidR="001C6E2F" w:rsidRDefault="001C6E2F">
      <w:pPr>
        <w:pStyle w:val="ConsPlusNormal"/>
        <w:jc w:val="center"/>
      </w:pPr>
    </w:p>
    <w:p w:rsidR="001C6E2F" w:rsidRDefault="001C6E2F">
      <w:pPr>
        <w:pStyle w:val="ConsPlusNormal"/>
        <w:ind w:firstLine="540"/>
        <w:jc w:val="both"/>
      </w:pPr>
      <w:r>
        <w:t>3.1. Конкурс проводится по следующим номинациям: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3.1.1. "Лучший государственный гражданский служащий Ханты-Мансийского автономного округа - Югры".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3.1.2. "Лучший муниципальный служащий Ханты-Мансийского автономного округа - Югры".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3.1.3. "Золотой резерв".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3.1.4. "Команда будущего":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категория "Студент";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lastRenderedPageBreak/>
        <w:t>категория "Учащийся".</w:t>
      </w:r>
    </w:p>
    <w:p w:rsidR="001C6E2F" w:rsidRDefault="001C6E2F">
      <w:pPr>
        <w:pStyle w:val="ConsPlusNormal"/>
        <w:spacing w:before="220"/>
        <w:ind w:firstLine="540"/>
        <w:jc w:val="both"/>
      </w:pPr>
      <w:bookmarkStart w:id="3" w:name="P95"/>
      <w:bookmarkEnd w:id="3"/>
      <w:r>
        <w:t>3.2. В номинациях "Лучший государственный гражданский служащий Ханты-Мансийского автономного округа - Югры" и "Лучший муниципальный служащий Ханты-Мансийского автономного округа - Югры" участвуют государственные гражданские, муниципальные служащие автономного округа, имеющие стаж государственной гражданской или муниципальной службы соответственно не менее 1 года, не имеющие дисциплинарных взысканий за последние 3 года.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3.3. В номинации "Золотой резерв" участвуют сотрудники учреждения (организации, предприятия), подведомственного исполнительному органу автономного округа или органу местного самоуправления муниципального образования автономного округа, представители бизнес-сообщества и некоммерческих организаций.</w:t>
      </w:r>
    </w:p>
    <w:p w:rsidR="001C6E2F" w:rsidRDefault="001C6E2F">
      <w:pPr>
        <w:pStyle w:val="ConsPlusNormal"/>
        <w:spacing w:before="220"/>
        <w:ind w:firstLine="540"/>
        <w:jc w:val="both"/>
      </w:pPr>
      <w:bookmarkStart w:id="4" w:name="P97"/>
      <w:bookmarkEnd w:id="4"/>
      <w:r>
        <w:t>3.4. В номинации "Команда будущего" участвуют студенты высших учебных заведений, учащиеся 10, 11 классов средних общеобразовательных школ.</w:t>
      </w:r>
    </w:p>
    <w:p w:rsidR="001C6E2F" w:rsidRDefault="001C6E2F">
      <w:pPr>
        <w:pStyle w:val="ConsPlusNormal"/>
        <w:ind w:firstLine="540"/>
        <w:jc w:val="both"/>
      </w:pPr>
    </w:p>
    <w:p w:rsidR="001C6E2F" w:rsidRDefault="001C6E2F">
      <w:pPr>
        <w:pStyle w:val="ConsPlusTitle"/>
        <w:jc w:val="center"/>
        <w:outlineLvl w:val="1"/>
      </w:pPr>
      <w:r>
        <w:t>Раздел IV. ИНФОРМАЦИОННОЕ СОПРОВОЖДЕНИЕ И ПОРЯДОК</w:t>
      </w:r>
    </w:p>
    <w:p w:rsidR="001C6E2F" w:rsidRDefault="001C6E2F">
      <w:pPr>
        <w:pStyle w:val="ConsPlusTitle"/>
        <w:jc w:val="center"/>
      </w:pPr>
      <w:r>
        <w:t>ПРОВЕДЕНИЯ КОНКУРСА</w:t>
      </w:r>
    </w:p>
    <w:p w:rsidR="001C6E2F" w:rsidRDefault="001C6E2F">
      <w:pPr>
        <w:pStyle w:val="ConsPlusNormal"/>
        <w:jc w:val="center"/>
      </w:pPr>
    </w:p>
    <w:p w:rsidR="001C6E2F" w:rsidRDefault="001C6E2F">
      <w:pPr>
        <w:pStyle w:val="ConsPlusNormal"/>
        <w:ind w:firstLine="540"/>
        <w:jc w:val="both"/>
      </w:pPr>
      <w:r>
        <w:t>4.1. Организатор конкурса совместно с оператором конкурса обеспечивают: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4.1.1. Размещение на официальном интернет-сайте конкурса, едином официальном сайте государственных органов автономного округа, официальных сайтах органов местного самоуправления муниципальных образований автономного округа объявления о начале проведения конкурса, содержащего информацию о перечне документов, месте и сроках их приема, а также условиях проведения конкурса.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4.1.2. Информирование органов государственной власти автономного округа, органов местного самоуправления муниципальных образований автономного округа и созданных при них общественных советов, а также научных, образовательных и иных организаций о проведении конкурса.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4.1.3. Информационное оповещение в средствах массовой информации о начале конкурса, порядке и сроках его проведения.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4.1.4. Размещение в личном кабинете информации об условиях проведения конкурса.</w:t>
      </w:r>
    </w:p>
    <w:p w:rsidR="001C6E2F" w:rsidRDefault="001C6E2F">
      <w:pPr>
        <w:pStyle w:val="ConsPlusNormal"/>
        <w:jc w:val="both"/>
      </w:pPr>
      <w:r>
        <w:t xml:space="preserve">(пп. 4.1.4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Губернатора ХМАО - Югры от 24.05.2024 N 55)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4.2. Организатор конкурса обеспечивает: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4.2.1. Формирование конкурсной комиссии, персональный состав которой утверждает первый заместитель Губернатора автономного округа, в ведении которого находится организатор конкурса.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4.2.2. Утверждение и размещение на официальном интернет-сайте конкурса регламента работы конкурсной комиссии, формы анкеты участника конкурса, критериев оценки анкет участников конкурса, требований к видеоинтервью, тем конкурсных проектов, требований к конкурсным проектам, критериев и порядка их оценки.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4.3. Конкурсная комиссия осуществляет свою работу в соответствии с утвержденным организатором конкурса регламентом.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4.4. Конкурс состоит из следующих этапов:</w:t>
      </w:r>
    </w:p>
    <w:p w:rsidR="001C6E2F" w:rsidRDefault="001C6E2F">
      <w:pPr>
        <w:pStyle w:val="ConsPlusNormal"/>
        <w:spacing w:before="220"/>
        <w:ind w:firstLine="540"/>
        <w:jc w:val="both"/>
      </w:pPr>
      <w:bookmarkStart w:id="5" w:name="P113"/>
      <w:bookmarkEnd w:id="5"/>
      <w:r>
        <w:t>4.4.1. Регистрация участников конкурса в личных кабинетах.</w:t>
      </w:r>
    </w:p>
    <w:p w:rsidR="001C6E2F" w:rsidRDefault="001C6E2F">
      <w:pPr>
        <w:pStyle w:val="ConsPlusNormal"/>
        <w:spacing w:before="220"/>
        <w:ind w:firstLine="540"/>
        <w:jc w:val="both"/>
      </w:pPr>
      <w:bookmarkStart w:id="6" w:name="P114"/>
      <w:bookmarkEnd w:id="6"/>
      <w:r>
        <w:lastRenderedPageBreak/>
        <w:t>4.4.2. Подготовка участниками конкурса конкурсных проектов и размещение их в личных кабинетах.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4.4.3. Дистанционный этап.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4.4.4. Очный этап, включающий в том числе онлайн-голосование финалистов.</w:t>
      </w:r>
    </w:p>
    <w:p w:rsidR="001C6E2F" w:rsidRDefault="001C6E2F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4.5. На этапе регистрации участники конкурса создают личные кабинеты, в которых: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4.5.1. Заполняют анкету по утвержденной организатором конкурса форме.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 xml:space="preserve">4.5.2. Выбирают одну из номинаций и категорий, указанных в </w:t>
      </w:r>
      <w:hyperlink w:anchor="P86">
        <w:r>
          <w:rPr>
            <w:color w:val="0000FF"/>
          </w:rPr>
          <w:t>разделе III</w:t>
        </w:r>
      </w:hyperlink>
      <w:r>
        <w:t xml:space="preserve"> Положения.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4.5.3. Размещают видеоинтервью, подготовленное в соответствии с требованиями, утвержденными организатором конкурса.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4.5.4. Выбирают одно из предложенных организатором конкурса направлений конкурсного проекта, готовят конкурсный проект в соответствии с требованиями, утвержденными организатором конкурса.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4.6. Регистрация участников конкурса осуществляется в течение 10 календарных дней со дня размещения на официальном интернет-сайте конкурса объявления о начале конкурса.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4.7. Регистрацией участник конкурса подтверждает, что он ознакомился и полностью согласен с Положением, политикой обработки персональных данных при проведении конкурса, использованием видеоаудиоматериалов.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4.8. Участники конкурса обязаны указывать достоверную информацию при регистрации и поддерживать ее актуальность на протяжении конкурса.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4.9. Каждый участник конкурса регистрируется на конкурс однократно.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 xml:space="preserve">4.10. Несоблюдение участником конкурса требований, установленных </w:t>
      </w:r>
      <w:hyperlink w:anchor="P95">
        <w:r>
          <w:rPr>
            <w:color w:val="0000FF"/>
          </w:rPr>
          <w:t>пунктами 3.2</w:t>
        </w:r>
      </w:hyperlink>
      <w:r>
        <w:t xml:space="preserve"> - </w:t>
      </w:r>
      <w:hyperlink w:anchor="P97">
        <w:r>
          <w:rPr>
            <w:color w:val="0000FF"/>
          </w:rPr>
          <w:t>3.4</w:t>
        </w:r>
      </w:hyperlink>
      <w:r>
        <w:t xml:space="preserve"> Положения, а также требований, утвержденных организатором конкурса Положения, является основанием для отказа в допуске к участию в конкурсе, о чем оператор конкурса сообщает ему в личном кабинете и по электронной почте в течение 3 рабочих дней со дня окончания регистрации участников конкурса.</w:t>
      </w:r>
    </w:p>
    <w:p w:rsidR="001C6E2F" w:rsidRDefault="001C6E2F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Губернатора ХМАО - Югры от 24.05.2024 N 55)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4.11. Участник конкурса вправе отказаться от участия в нем на любом этапе его проведения, направив в адрес организатора конкурса письменное уведомление о своем решении.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4.12. Участники конкурса, прошедшие процедуру регистрации, до начала дистанционного этапа конкурса, в течение 20 календарных дней с даты регистрации осуществляют подготовку конкурсного проекта и его размещение в личном кабинете.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4.13. Дистанционный этап состоит из оценки анкет участников конкурса, размещенных в личных кабинетах, тестирования для оценки знаний участников конкурса, тестирования для оценки деловых и личностных качеств участников конкурса (за исключением студентов высших учебных заведений, учащихся средних общеобразовательных школ), которые проводятся в личных кабинетах.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4.13.1. О начале дистанционного этапа организатор конкурса информируют участников конкурса за 5 рабочих дней до его начала, который проводится в течение 20 календарных дней.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4.13.2. Оценку анкет участников конкурса осуществляет оператор конкурса по следующим критериям: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lastRenderedPageBreak/>
        <w:t>профессиональный уровень (за исключением участников номинации "Команда будущего");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опыт (стаж) работы в сфере деятельности (за исключением участников номинации "Команда будущего");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наличие поощрений, наград;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выступление (с публикацией) на семинарах, форумах и конференциях по направлению деятельности;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участие в проектной деятельности, внедрении инновационных разработок, разработке нормативных правовых актов (за исключением участников номинации "Команда будущего");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успешное участие (призовые места, медали, дипломы, грамоты, премии) в конкурсах, выставках, соревнованиях в соответствующей сфере их деятельности.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Максимальное количество баллов по результатам оценки анкеты - 30.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Результаты оценки отображаются в личных кабинетах.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4.13.3. По итогам оценки анкет участников конкурса определяется рейтинг каждого участника конкурса.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 xml:space="preserve">4.13.4. К тестированию для оценки знаний допускаются участники конкурса, выполнившие в срок все условия, предусмотренные </w:t>
      </w:r>
      <w:hyperlink w:anchor="P113">
        <w:r>
          <w:rPr>
            <w:color w:val="0000FF"/>
          </w:rPr>
          <w:t>пунктами 4.4.1</w:t>
        </w:r>
      </w:hyperlink>
      <w:r>
        <w:t xml:space="preserve">, </w:t>
      </w:r>
      <w:hyperlink w:anchor="P114">
        <w:r>
          <w:rPr>
            <w:color w:val="0000FF"/>
          </w:rPr>
          <w:t>4.4.2</w:t>
        </w:r>
      </w:hyperlink>
      <w:r>
        <w:t xml:space="preserve"> Положения.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4.13.5. Тестирование для оценки знаний проводится в течение 10 календарных дней со дня начала дистанционного этапа.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Тестирование для оценки знаний участников конкурса включает вопросы на знание:</w:t>
      </w:r>
    </w:p>
    <w:p w:rsidR="001C6E2F" w:rsidRDefault="001C6E2F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о государственной гражданской и муниципальной службе (до 20 баллов);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антикоррупционных технологий (до 20 баллов);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государственного языка Российской Федерации, культуры речи (до 20 баллов);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истории России и автономного округа (до 20 баллов);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навыков владения информационно-коммуникационными технологиями (до 20 баллов).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Максимальное количество баллов по оценке знаний - 100.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Результаты тестирования для оценки знаний отображаются в личных кабинетах.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4.13.6. По итогам тестирования для оценки знаний определяется рейтинг каждого участника конкурса.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4.13.7. К тестированию для оценки деловых и личностных качеств допускаются не более 20 участников конкурса в каждой из номинаций конкурса: "Лучший государственный гражданский служащий Ханты-Мансийского автономного округа - Югры", "Лучший муниципальный служащий Ханты-Мансийского автономного округа - Югры", "Золотой резерв", набравшие в сумме наибольшее количество баллов по итогам испытаний предыдущих этапов. В случае равенства у участников конкурса баллов к тестированию для оценки деловых и личностных качеств допускается участник конкурса, прошедший оценку знаний первым по времени.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 xml:space="preserve">4.13.8. Тестирование для оценки деловых и личностных качеств проводится в течение 10 </w:t>
      </w:r>
      <w:r>
        <w:lastRenderedPageBreak/>
        <w:t>календарных дней после окончания тестирования для оценки знаний.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Результаты тестирования для оценки деловых и личностных качеств фиксируются в личных кабинетах.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4.14. Очный этап проводится в течение 30 рабочих дней со дня окончания дистанционного этапа с использованием информационно-просветительских, игровых, тренинговых форм, также включает в себя оценку конкурсных проектов, защиту конкурсных проектов перед конкурсной комиссией, онлайн-голосование финалистов конкурса, подведение конкурсной комиссией итогов и награждение победителей, призеров участников конкурса.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4.14.1. Порядок и форму проведения очного этапа определяет организатор конкурса.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О времени, месте и форме проведения очного этапа организатор конкурса извещает участников конкурса, выполнивших в срок все условия предыдущего этапа конкурса, в личных кабинетах не позднее чем за 5 рабочих дней до его начала.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4.14.2. Для участия в очном этапе, в том числе для оценки конкурсных проектов, приглашаются участники, прошедшие предыдущие этапы.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Оценку конкурсных проектов проводит конкурсная комиссия в течение 10 рабочих дней по критериям, утвержденным организатором конкурса.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4.14.3. К защите конкурсных проектов и онлайн-голосованию допускается не более 5 участников в каждой номинации и категории, набравших наибольшее количество баллов по итогам испытаний предыдущих этапов (финалисты конкурса). Порядок проведения защиты конкурсных проектов и онлайн-голосования определяет организатор конкурса.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4.15. Решение об определении победителей и призеров в каждой номинации и категории конкурсная комиссия принимает с учетом итоговых баллов по результатам всех этапов конкурса, результатов защиты конкурсных проектов.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4.16. Победителем конкурса в каждой номинации и категории признается участник конкурса, набравший наибольшее количество баллов. При равном количестве набранных баллов в одной номинации (в одной категории) конкурсная комиссия определяет победителя открытым голосованием большинством голосов.</w:t>
      </w:r>
    </w:p>
    <w:p w:rsidR="001C6E2F" w:rsidRDefault="001C6E2F">
      <w:pPr>
        <w:pStyle w:val="ConsPlusNormal"/>
        <w:spacing w:before="220"/>
        <w:ind w:firstLine="540"/>
        <w:jc w:val="both"/>
      </w:pPr>
      <w:bookmarkStart w:id="8" w:name="P164"/>
      <w:bookmarkEnd w:id="8"/>
      <w:r>
        <w:t>4.17. Конкурсная комиссия по результатам защиты конкурсных проектов определяет 1 победителя из числа финалистов по всем номинациям для вручения диплома "За лучшее рациональное предложение" и денежного приза.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4.18. По результатам онлайн-голосования присутствующих на защите конкурсных проектов финалистов определяется по 1 призеру в каждой номинации и категории, набравших наибольшее количество голосов, для вручения диплома "Лучший финалист по мнению участников конкурса (по результатам онлайн-голосования)".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 xml:space="preserve">4.19. Все участники конкурса, выполнившие условия </w:t>
      </w:r>
      <w:hyperlink w:anchor="P117">
        <w:r>
          <w:rPr>
            <w:color w:val="0000FF"/>
          </w:rPr>
          <w:t>пункта 4.5</w:t>
        </w:r>
      </w:hyperlink>
      <w:r>
        <w:t xml:space="preserve"> Положения, получают электронные сертификаты участника конкурса и доступ к Системе дистанционного обучения (sdo.admhmao.ru).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 xml:space="preserve">4.20. Конкурсная комиссия в целях выполнения задач, обозначенных в </w:t>
      </w:r>
      <w:hyperlink w:anchor="P77">
        <w:r>
          <w:rPr>
            <w:color w:val="0000FF"/>
          </w:rPr>
          <w:t>пункте 2.2</w:t>
        </w:r>
      </w:hyperlink>
      <w:r>
        <w:t xml:space="preserve"> Положения, оставляет за собой право на поощрение в каждой номинации участника, не ставшего победителем, призером, или предоставление возможности в течение следующего календарного года принять участие в мероприятиях по профессиональному развитию.</w:t>
      </w:r>
    </w:p>
    <w:p w:rsidR="001C6E2F" w:rsidRDefault="001C6E2F">
      <w:pPr>
        <w:pStyle w:val="ConsPlusNormal"/>
        <w:ind w:firstLine="540"/>
        <w:jc w:val="both"/>
      </w:pPr>
    </w:p>
    <w:p w:rsidR="001C6E2F" w:rsidRDefault="001C6E2F">
      <w:pPr>
        <w:pStyle w:val="ConsPlusTitle"/>
        <w:jc w:val="center"/>
        <w:outlineLvl w:val="1"/>
      </w:pPr>
      <w:r>
        <w:t>Раздел V. НАГРАЖДЕНИЕ ПОБЕДИТЕЛЕЙ И ПРИЗЕРОВ КОНКУРСА</w:t>
      </w:r>
    </w:p>
    <w:p w:rsidR="001C6E2F" w:rsidRDefault="001C6E2F">
      <w:pPr>
        <w:pStyle w:val="ConsPlusNormal"/>
        <w:ind w:firstLine="540"/>
        <w:jc w:val="both"/>
      </w:pPr>
    </w:p>
    <w:p w:rsidR="001C6E2F" w:rsidRDefault="001C6E2F">
      <w:pPr>
        <w:pStyle w:val="ConsPlusNormal"/>
        <w:ind w:firstLine="540"/>
        <w:jc w:val="both"/>
      </w:pPr>
      <w:r>
        <w:t>5.1. В номинациях "Лучший государственный гражданский служащий Ханты-Мансийского автономного округа - Югры" и "Лучший муниципальный служащий Ханты-Мансийского автономного округа - Югры":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5.1.1. Победители конкурса получают соответствующий диплом и денежный приз в размере 500 000 рублей.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5.1.2. Призеры конкурса получают диплом "Лучший финалист по мнению участников конкурса (по результатам онлайн-голосования)" и денежный приз в размере 200 000 рублей.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5.2. В номинации "Золотой резерв":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5.2.1. Победитель конкурса получает соответствующий диплом, право на обучение в образовательном проекте "Лидеры изменений Югры" и ценный подарок.</w:t>
      </w:r>
    </w:p>
    <w:p w:rsidR="001C6E2F" w:rsidRDefault="001C6E2F">
      <w:pPr>
        <w:pStyle w:val="ConsPlusNormal"/>
        <w:jc w:val="both"/>
      </w:pPr>
      <w:r>
        <w:t xml:space="preserve">(пп. 5.2.1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Губернатора ХМАО - Югры от 24.05.2024 N 55)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5.2.2. Призер конкурса получает диплом "Лучший финалист по мнению участников конкурса (по результатам онлайн-голосования)" и ценный подарок.</w:t>
      </w:r>
    </w:p>
    <w:p w:rsidR="001C6E2F" w:rsidRDefault="001C6E2F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Губернатора ХМАО - Югры от 24.05.2024 N 55)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5.3. В номинации "Команда будущего" в каждой категории: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5.3.1. Победители конкурса получают соответствующий диплом и денежный приз в размере 100 000 рублей.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5.3.2. Призеры конкурса получают диплом "Лучший финалист по мнению участников конкурса (по результатам онлайн-голосования)" и денежный приз в размере 100 000 рублей.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 xml:space="preserve">5.4. Победитель конкурса, определенный конкурсной комиссией в соответствии с </w:t>
      </w:r>
      <w:hyperlink w:anchor="P164">
        <w:r>
          <w:rPr>
            <w:color w:val="0000FF"/>
          </w:rPr>
          <w:t>пунктом 4.17</w:t>
        </w:r>
      </w:hyperlink>
      <w:r>
        <w:t xml:space="preserve"> Положения, получает диплом "За лучшее рациональное предложение" и денежный приз в размере 100 000 рублей.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5.5. Перечисление денежного приза победителям и призерам конкурса осуществляется на основании приказа организатора конкурса, утвержденного в течение 5 рабочих дней со дня принятия конкурсной комиссией решения о награждении.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5.6. Конкурсные проекты победителей и призеров конкурса организатор конкурса в течение 5 рабочих дней со дня принятия конкурсной комиссией решения о награждении размещает на официальном интернет-сайте конкурса в разделе "Лидеры Югры", информирует органы государственной власти автономного округа и органы местного самоуправления муниципальных образований автономного округа о возможности практического применения конкурсных работ.</w:t>
      </w:r>
    </w:p>
    <w:p w:rsidR="001C6E2F" w:rsidRDefault="001C6E2F">
      <w:pPr>
        <w:pStyle w:val="ConsPlusNormal"/>
        <w:spacing w:before="220"/>
        <w:ind w:firstLine="540"/>
        <w:jc w:val="both"/>
      </w:pPr>
      <w:r>
        <w:t>5.7. Информацию об итогах конкурса оператор конкурса размещает в течение 5 рабочих дней со дня принятия конкурсной комиссией решения о награждении на официальном интернет-сайте конкурса в разделе "Лидеры Югры", едином официальном сайте государственных органов автономного округа, обеспечивает ее размещение на официальных сайтах органов местного самоуправления муниципальных образований автономного округа.</w:t>
      </w:r>
    </w:p>
    <w:p w:rsidR="001C6E2F" w:rsidRDefault="001C6E2F">
      <w:pPr>
        <w:pStyle w:val="ConsPlusNormal"/>
        <w:ind w:firstLine="540"/>
        <w:jc w:val="both"/>
      </w:pPr>
    </w:p>
    <w:p w:rsidR="001C6E2F" w:rsidRDefault="001C6E2F">
      <w:pPr>
        <w:pStyle w:val="ConsPlusNormal"/>
        <w:ind w:firstLine="540"/>
        <w:jc w:val="both"/>
      </w:pPr>
    </w:p>
    <w:p w:rsidR="001C6E2F" w:rsidRDefault="001C6E2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BDB" w:rsidRDefault="003F0BDB">
      <w:bookmarkStart w:id="9" w:name="_GoBack"/>
      <w:bookmarkEnd w:id="9"/>
    </w:p>
    <w:sectPr w:rsidR="003F0BDB" w:rsidSect="00836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2F"/>
    <w:rsid w:val="001C6E2F"/>
    <w:rsid w:val="003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1297C-800E-4B04-892C-59465CF3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E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C6E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C6E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49608" TargetMode="External"/><Relationship Id="rId18" Type="http://schemas.openxmlformats.org/officeDocument/2006/relationships/hyperlink" Target="https://login.consultant.ru/link/?req=doc&amp;base=RLAW926&amp;n=263911" TargetMode="External"/><Relationship Id="rId26" Type="http://schemas.openxmlformats.org/officeDocument/2006/relationships/hyperlink" Target="https://login.consultant.ru/link/?req=doc&amp;base=RLAW926&amp;n=302662&amp;dst=1000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26&amp;n=236989&amp;dst=10000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926&amp;n=302462" TargetMode="External"/><Relationship Id="rId12" Type="http://schemas.openxmlformats.org/officeDocument/2006/relationships/hyperlink" Target="https://login.consultant.ru/link/?req=doc&amp;base=RLAW926&amp;n=263904" TargetMode="External"/><Relationship Id="rId17" Type="http://schemas.openxmlformats.org/officeDocument/2006/relationships/hyperlink" Target="https://login.consultant.ru/link/?req=doc&amp;base=RLAW926&amp;n=118460" TargetMode="External"/><Relationship Id="rId25" Type="http://schemas.openxmlformats.org/officeDocument/2006/relationships/hyperlink" Target="https://login.consultant.ru/link/?req=doc&amp;base=RLAW926&amp;n=284069&amp;dst=100009" TargetMode="External"/><Relationship Id="rId33" Type="http://schemas.openxmlformats.org/officeDocument/2006/relationships/hyperlink" Target="https://login.consultant.ru/link/?req=doc&amp;base=RLAW926&amp;n=302662&amp;dst=1000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99642" TargetMode="External"/><Relationship Id="rId20" Type="http://schemas.openxmlformats.org/officeDocument/2006/relationships/hyperlink" Target="https://login.consultant.ru/link/?req=doc&amp;base=RLAW926&amp;n=216125" TargetMode="External"/><Relationship Id="rId29" Type="http://schemas.openxmlformats.org/officeDocument/2006/relationships/hyperlink" Target="https://login.consultant.ru/link/?req=doc&amp;base=RLAW926&amp;n=302662&amp;dst=10001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302662&amp;dst=100005" TargetMode="External"/><Relationship Id="rId11" Type="http://schemas.openxmlformats.org/officeDocument/2006/relationships/hyperlink" Target="https://login.consultant.ru/link/?req=doc&amp;base=RLAW926&amp;n=284069&amp;dst=100008" TargetMode="External"/><Relationship Id="rId24" Type="http://schemas.openxmlformats.org/officeDocument/2006/relationships/hyperlink" Target="https://login.consultant.ru/link/?req=doc&amp;base=RLAW926&amp;n=263252&amp;dst=100045" TargetMode="External"/><Relationship Id="rId32" Type="http://schemas.openxmlformats.org/officeDocument/2006/relationships/hyperlink" Target="https://login.consultant.ru/link/?req=doc&amp;base=RLAW926&amp;n=302662&amp;dst=100014" TargetMode="External"/><Relationship Id="rId5" Type="http://schemas.openxmlformats.org/officeDocument/2006/relationships/hyperlink" Target="https://login.consultant.ru/link/?req=doc&amp;base=RLAW926&amp;n=284069&amp;dst=100005" TargetMode="External"/><Relationship Id="rId15" Type="http://schemas.openxmlformats.org/officeDocument/2006/relationships/hyperlink" Target="https://login.consultant.ru/link/?req=doc&amp;base=RLAW926&amp;n=92011" TargetMode="External"/><Relationship Id="rId23" Type="http://schemas.openxmlformats.org/officeDocument/2006/relationships/hyperlink" Target="https://login.consultant.ru/link/?req=doc&amp;base=RLAW926&amp;n=263252&amp;dst=100015" TargetMode="External"/><Relationship Id="rId28" Type="http://schemas.openxmlformats.org/officeDocument/2006/relationships/hyperlink" Target="https://login.consultant.ru/link/?req=doc&amp;base=RLAW926&amp;n=302662&amp;dst=100008" TargetMode="External"/><Relationship Id="rId10" Type="http://schemas.openxmlformats.org/officeDocument/2006/relationships/hyperlink" Target="https://login.consultant.ru/link/?req=doc&amp;base=RLAW926&amp;n=302662&amp;dst=100006" TargetMode="External"/><Relationship Id="rId19" Type="http://schemas.openxmlformats.org/officeDocument/2006/relationships/hyperlink" Target="https://login.consultant.ru/link/?req=doc&amp;base=RLAW926&amp;n=201554" TargetMode="External"/><Relationship Id="rId31" Type="http://schemas.openxmlformats.org/officeDocument/2006/relationships/hyperlink" Target="https://login.consultant.ru/link/?req=doc&amp;base=LAW&amp;n=287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284069&amp;dst=100007" TargetMode="External"/><Relationship Id="rId14" Type="http://schemas.openxmlformats.org/officeDocument/2006/relationships/hyperlink" Target="https://login.consultant.ru/link/?req=doc&amp;base=RLAW926&amp;n=62733" TargetMode="External"/><Relationship Id="rId22" Type="http://schemas.openxmlformats.org/officeDocument/2006/relationships/hyperlink" Target="https://login.consultant.ru/link/?req=doc&amp;base=RLAW926&amp;n=177905&amp;dst=100027" TargetMode="External"/><Relationship Id="rId27" Type="http://schemas.openxmlformats.org/officeDocument/2006/relationships/hyperlink" Target="https://login.consultant.ru/link/?req=doc&amp;base=RLAW926&amp;n=297860&amp;dst=100165" TargetMode="External"/><Relationship Id="rId30" Type="http://schemas.openxmlformats.org/officeDocument/2006/relationships/hyperlink" Target="https://login.consultant.ru/link/?req=doc&amp;base=RLAW926&amp;n=302662&amp;dst=100012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926&amp;n=2978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3920</Words>
  <Characters>22349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Бобина</dc:creator>
  <cp:keywords/>
  <dc:description/>
  <cp:lastModifiedBy>Алена Бобина</cp:lastModifiedBy>
  <cp:revision>1</cp:revision>
  <dcterms:created xsi:type="dcterms:W3CDTF">2024-07-04T06:38:00Z</dcterms:created>
  <dcterms:modified xsi:type="dcterms:W3CDTF">2024-07-04T06:39:00Z</dcterms:modified>
</cp:coreProperties>
</file>