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A9" w:rsidRPr="00C31F96" w:rsidRDefault="00EC50A9" w:rsidP="00EA0032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Приложение к приказу отдела муниципального контроля </w:t>
      </w:r>
    </w:p>
    <w:p w:rsidR="00EC50A9" w:rsidRPr="00C31F96" w:rsidRDefault="00EC50A9" w:rsidP="00EA0032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55A5">
        <w:rPr>
          <w:rFonts w:ascii="Times New Roman" w:hAnsi="Times New Roman"/>
          <w:sz w:val="28"/>
          <w:szCs w:val="28"/>
        </w:rPr>
        <w:t xml:space="preserve">19.12.2024 </w:t>
      </w:r>
      <w:r w:rsidRPr="00C31F96">
        <w:rPr>
          <w:rFonts w:ascii="Times New Roman" w:hAnsi="Times New Roman"/>
          <w:sz w:val="28"/>
          <w:szCs w:val="28"/>
        </w:rPr>
        <w:t>№</w:t>
      </w:r>
      <w:r w:rsidR="007C55A5">
        <w:rPr>
          <w:rFonts w:ascii="Times New Roman" w:hAnsi="Times New Roman"/>
          <w:sz w:val="28"/>
          <w:szCs w:val="28"/>
        </w:rPr>
        <w:t xml:space="preserve"> 5</w:t>
      </w:r>
    </w:p>
    <w:p w:rsidR="00EC50A9" w:rsidRDefault="00EC50A9" w:rsidP="00E650F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6046A" w:rsidRPr="00C31F96" w:rsidRDefault="0036046A" w:rsidP="00E650F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3722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лесному </w:t>
      </w:r>
      <w:r w:rsidRPr="00C31F96">
        <w:rPr>
          <w:rFonts w:ascii="Times New Roman" w:hAnsi="Times New Roman"/>
          <w:b/>
          <w:sz w:val="28"/>
          <w:szCs w:val="28"/>
        </w:rPr>
        <w:br/>
        <w:t>контролю на те</w:t>
      </w:r>
      <w:r w:rsidR="002623EA">
        <w:rPr>
          <w:rFonts w:ascii="Times New Roman" w:hAnsi="Times New Roman"/>
          <w:b/>
          <w:sz w:val="28"/>
          <w:szCs w:val="28"/>
        </w:rPr>
        <w:t>рритории города Пыть-Яха на 2025</w:t>
      </w:r>
      <w:r w:rsidRPr="00C31F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</w:t>
      </w:r>
      <w:r w:rsidR="002623EA">
        <w:rPr>
          <w:rFonts w:ascii="Times New Roman" w:hAnsi="Times New Roman"/>
          <w:sz w:val="28"/>
          <w:szCs w:val="28"/>
        </w:rPr>
        <w:t>ального лесного контроля на 2025</w:t>
      </w:r>
      <w:r w:rsidRPr="00C31F96">
        <w:rPr>
          <w:rFonts w:ascii="Times New Roman" w:hAnsi="Times New Roman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лесных отношений, а также создания условий для доведения обязательных требований до контролируемых лиц, повышения информированности о способах                         их соблюдения.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C31F96">
        <w:rPr>
          <w:rFonts w:ascii="Times New Roman" w:hAnsi="Times New Roman"/>
          <w:sz w:val="28"/>
          <w:szCs w:val="28"/>
        </w:rPr>
        <w:t>1.2. Программа разработана в соответствии</w:t>
      </w:r>
      <w:bookmarkEnd w:id="0"/>
      <w:r w:rsidR="0040177B">
        <w:rPr>
          <w:rFonts w:ascii="Times New Roman" w:hAnsi="Times New Roman"/>
          <w:sz w:val="28"/>
          <w:szCs w:val="28"/>
        </w:rPr>
        <w:t xml:space="preserve"> со статьей 44 Ф</w:t>
      </w:r>
      <w:r w:rsidRPr="00C31F96">
        <w:rPr>
          <w:rFonts w:ascii="Times New Roman" w:hAnsi="Times New Roman"/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- 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3"/>
      <w:r w:rsidRPr="00C31F96">
        <w:rPr>
          <w:rFonts w:ascii="Times New Roman" w:hAnsi="Times New Roman"/>
          <w:sz w:val="28"/>
          <w:szCs w:val="28"/>
        </w:rPr>
        <w:t xml:space="preserve">1.3. </w:t>
      </w:r>
      <w:bookmarkStart w:id="2" w:name="sub_1004"/>
      <w:bookmarkEnd w:id="1"/>
      <w:r w:rsidR="002623EA">
        <w:rPr>
          <w:rFonts w:ascii="Times New Roman" w:hAnsi="Times New Roman"/>
          <w:sz w:val="28"/>
          <w:szCs w:val="28"/>
        </w:rPr>
        <w:t>Срок реализации Программы - 2025</w:t>
      </w:r>
      <w:r w:rsidRPr="00C31F96">
        <w:rPr>
          <w:rFonts w:ascii="Times New Roman" w:hAnsi="Times New Roman"/>
          <w:sz w:val="28"/>
          <w:szCs w:val="28"/>
        </w:rPr>
        <w:t xml:space="preserve"> год</w:t>
      </w:r>
      <w:bookmarkEnd w:id="2"/>
      <w:r w:rsidRPr="00C31F96">
        <w:rPr>
          <w:rFonts w:ascii="Times New Roman" w:hAnsi="Times New Roman"/>
          <w:sz w:val="28"/>
          <w:szCs w:val="28"/>
        </w:rPr>
        <w:t>.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II. Анализ текущего состояния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осуществления муниципального </w:t>
      </w:r>
      <w:r w:rsidR="002623EA">
        <w:rPr>
          <w:rFonts w:ascii="Times New Roman" w:hAnsi="Times New Roman"/>
          <w:b/>
          <w:sz w:val="28"/>
          <w:szCs w:val="28"/>
        </w:rPr>
        <w:t>лесного</w:t>
      </w:r>
      <w:r w:rsidRPr="00C31F96">
        <w:rPr>
          <w:rFonts w:ascii="Times New Roman" w:hAnsi="Times New Roman"/>
          <w:b/>
          <w:sz w:val="28"/>
          <w:szCs w:val="28"/>
        </w:rPr>
        <w:t xml:space="preserve"> контроля,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EC50A9" w:rsidRPr="00C31F96" w:rsidRDefault="00EC50A9" w:rsidP="00EA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EA0032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31F96">
        <w:rPr>
          <w:rFonts w:ascii="Times New Roman" w:hAnsi="Times New Roman"/>
          <w:sz w:val="28"/>
          <w:szCs w:val="28"/>
        </w:rPr>
        <w:t>. Предметом муниципального лесного контроля является соблюдение юридическими лицами, индивидуальными предпринимателями и гражданами</w:t>
      </w:r>
      <w:r w:rsidR="007C7DCA">
        <w:rPr>
          <w:rFonts w:ascii="Times New Roman" w:hAnsi="Times New Roman"/>
          <w:sz w:val="28"/>
          <w:szCs w:val="28"/>
        </w:rPr>
        <w:t xml:space="preserve"> (далее – контролируемые лица)</w:t>
      </w:r>
      <w:r w:rsidRPr="00C31F96">
        <w:rPr>
          <w:rFonts w:ascii="Times New Roman" w:hAnsi="Times New Roman"/>
          <w:sz w:val="28"/>
          <w:szCs w:val="28"/>
        </w:rPr>
        <w:t xml:space="preserve">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C31F96">
        <w:rPr>
          <w:rFonts w:ascii="Times New Roman" w:hAnsi="Times New Roman"/>
          <w:sz w:val="28"/>
          <w:szCs w:val="28"/>
        </w:rPr>
        <w:lastRenderedPageBreak/>
        <w:t xml:space="preserve">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</w:t>
      </w:r>
      <w:r w:rsidRPr="00EA0032">
        <w:rPr>
          <w:rFonts w:ascii="Times New Roman" w:hAnsi="Times New Roman"/>
          <w:sz w:val="28"/>
          <w:szCs w:val="28"/>
        </w:rPr>
        <w:t xml:space="preserve">растений (далее - обязательные требования). </w:t>
      </w:r>
    </w:p>
    <w:p w:rsidR="00EC50A9" w:rsidRPr="00C31F96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Оценка соблюдения обязательных требований, входящих в предмет муниципального </w:t>
      </w:r>
      <w:r w:rsidR="0040177B">
        <w:rPr>
          <w:rFonts w:ascii="Times New Roman" w:hAnsi="Times New Roman"/>
          <w:sz w:val="28"/>
          <w:szCs w:val="28"/>
        </w:rPr>
        <w:t xml:space="preserve">лесного </w:t>
      </w:r>
      <w:r w:rsidRPr="00EA0032">
        <w:rPr>
          <w:rFonts w:ascii="Times New Roman" w:hAnsi="Times New Roman"/>
          <w:sz w:val="28"/>
          <w:szCs w:val="28"/>
        </w:rPr>
        <w:t>контроля на территории города, осуществляется посредством проведения контрольных мероприятий во взаимодействии с контролируемыми лицами (</w:t>
      </w:r>
      <w:r w:rsidRPr="00EA0032">
        <w:rPr>
          <w:rFonts w:ascii="Times New Roman" w:hAnsi="Times New Roman"/>
          <w:sz w:val="28"/>
          <w:szCs w:val="28"/>
          <w:lang w:eastAsia="ru-RU"/>
        </w:rPr>
        <w:t>инспекционный визит, документарная проверка, выездная проверка, рейдовый осмотр</w:t>
      </w:r>
      <w:r w:rsidRPr="00EA0032">
        <w:rPr>
          <w:rFonts w:ascii="Times New Roman" w:hAnsi="Times New Roman"/>
          <w:sz w:val="28"/>
          <w:szCs w:val="28"/>
        </w:rPr>
        <w:t>) и без взаимодействия с контролируемыми лицами (</w:t>
      </w:r>
      <w:r w:rsidRPr="00EA0032">
        <w:rPr>
          <w:rFonts w:ascii="Times New Roman" w:hAnsi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безопасности), выездное обследование</w:t>
      </w:r>
      <w:r>
        <w:rPr>
          <w:rFonts w:ascii="Times New Roman" w:hAnsi="Times New Roman"/>
          <w:sz w:val="28"/>
          <w:szCs w:val="28"/>
        </w:rPr>
        <w:t>).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1F96">
        <w:rPr>
          <w:rFonts w:ascii="Times New Roman" w:hAnsi="Times New Roman"/>
          <w:sz w:val="28"/>
          <w:szCs w:val="28"/>
        </w:rPr>
        <w:t>. Обязательные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 - Лесной кодекс Российской Федерации; 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F96">
        <w:rPr>
          <w:rFonts w:ascii="Times New Roman" w:hAnsi="Times New Roman"/>
          <w:sz w:val="28"/>
          <w:szCs w:val="28"/>
        </w:rPr>
        <w:t xml:space="preserve">Федеральный закон от 17.12.1997 № 149-ФЗ «О семеноводстве»; 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16.10.2020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1696 «О сопроводительном документе на транспортировку древесины»;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23.11.2020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1898 «Об утверждении Правил учета древесины»;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09.12.2020 </w:t>
      </w:r>
      <w:r w:rsidRPr="00C31F96">
        <w:rPr>
          <w:rFonts w:ascii="Times New Roman" w:hAnsi="Times New Roman"/>
          <w:sz w:val="28"/>
          <w:szCs w:val="28"/>
        </w:rPr>
        <w:br/>
        <w:t>№ 2047 «Об утверждении Правил</w:t>
      </w:r>
      <w:bookmarkStart w:id="3" w:name="_GoBack"/>
      <w:bookmarkEnd w:id="3"/>
      <w:r w:rsidRPr="00C31F96">
        <w:rPr>
          <w:rFonts w:ascii="Times New Roman" w:hAnsi="Times New Roman"/>
          <w:sz w:val="28"/>
          <w:szCs w:val="28"/>
        </w:rPr>
        <w:t xml:space="preserve"> санитарной безопасности в лесах»;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27.06.2016 № 367 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22.07.2020 № 469 «Об утверждении Правил использования лесов для выращивания посадочного материала лесных растений (саженцев, сеянцев)»;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 и образовательной деятельности»;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494 «Об утверждении правил заготовки пищевых ресурсов и сбора лекарственных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496 «Об утверждении Правил заготовки недревесных лесных ресурсов»;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514 «Об утверждении Порядка производства семян отдельных категорий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534 «Об утверждении Правил ухода за лесами»;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535 «Об утверждении Порядка заготовки, обработки, хранения и использования семян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541 «Об утверждении Правил лесоразведения, состава проекта лесоразведения, порядка его разработки»;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 564 «Об утверждении Особенностей использования, охраны, защиты, воспроизводства лесов, расположенных на землях населенных пунктов»;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 565 «Об утверждении Порядка проектирования, создания, содержания и эксплуатации объектов лесной инфраструктуры»;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Федерального агентства лесного хозяйства от 10.01.2012 № 2 «Об утверждении Порядка реализации и транспортировки партий семян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Закон Ханты-Мансийского автономного округа - Югры от 29.12.2006 </w:t>
      </w:r>
      <w:r w:rsidRPr="00C31F96">
        <w:rPr>
          <w:rFonts w:ascii="Times New Roman" w:hAnsi="Times New Roman"/>
          <w:sz w:val="28"/>
          <w:szCs w:val="28"/>
        </w:rPr>
        <w:br/>
        <w:t>№ 148-оз «О регулировании отдельных вопросов в области водных и лесных отношений на территории Ханты-Мансийского автономного округа – Югры».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C31F96">
        <w:rPr>
          <w:rFonts w:ascii="Times New Roman" w:hAnsi="Times New Roman"/>
          <w:sz w:val="28"/>
          <w:szCs w:val="28"/>
        </w:rPr>
        <w:t xml:space="preserve">. Объектами муниципального лесного контроля являются: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31F96">
        <w:rPr>
          <w:rFonts w:ascii="Times New Roman" w:hAnsi="Times New Roman"/>
          <w:sz w:val="28"/>
          <w:szCs w:val="28"/>
        </w:rPr>
        <w:t>. В качестве контролируемых лиц при осуществлении муниципального лесного контроля выступают юридические лица, индивидуальные предприниматели и граждане, осуществляющие деятельность</w:t>
      </w:r>
      <w:r w:rsidR="003604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связанную с соблюдением обязательных требований лесного законодательства </w:t>
      </w:r>
      <w:r w:rsidRPr="00C31F96">
        <w:rPr>
          <w:rFonts w:ascii="Times New Roman" w:hAnsi="Times New Roman"/>
          <w:sz w:val="28"/>
          <w:szCs w:val="28"/>
        </w:rPr>
        <w:t>на территории города Пыть-Яха.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0A9" w:rsidRDefault="0040177B" w:rsidP="008B68C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495F1A">
        <w:rPr>
          <w:rFonts w:ascii="Times New Roman" w:hAnsi="Times New Roman"/>
          <w:sz w:val="28"/>
          <w:szCs w:val="28"/>
        </w:rPr>
        <w:t>За 8 (восемь)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623EA">
        <w:rPr>
          <w:rFonts w:ascii="Times New Roman" w:hAnsi="Times New Roman"/>
          <w:sz w:val="28"/>
          <w:szCs w:val="28"/>
        </w:rPr>
        <w:t>4</w:t>
      </w:r>
      <w:r w:rsidR="00EC50A9" w:rsidRPr="00AA23F9">
        <w:rPr>
          <w:rFonts w:ascii="Times New Roman" w:hAnsi="Times New Roman"/>
          <w:sz w:val="28"/>
          <w:szCs w:val="28"/>
        </w:rPr>
        <w:t xml:space="preserve"> год</w:t>
      </w:r>
      <w:r w:rsidR="00495F1A">
        <w:rPr>
          <w:rFonts w:ascii="Times New Roman" w:hAnsi="Times New Roman"/>
          <w:sz w:val="28"/>
          <w:szCs w:val="28"/>
        </w:rPr>
        <w:t xml:space="preserve">а </w:t>
      </w:r>
      <w:r w:rsidR="00EC50A9" w:rsidRPr="00AA23F9">
        <w:rPr>
          <w:rFonts w:ascii="Times New Roman" w:hAnsi="Times New Roman"/>
          <w:sz w:val="28"/>
          <w:szCs w:val="28"/>
        </w:rPr>
        <w:t xml:space="preserve">внеплановые </w:t>
      </w:r>
      <w:r>
        <w:rPr>
          <w:rFonts w:ascii="Times New Roman" w:hAnsi="Times New Roman"/>
          <w:sz w:val="28"/>
          <w:szCs w:val="28"/>
        </w:rPr>
        <w:t xml:space="preserve">контрольные мероприятия </w:t>
      </w:r>
      <w:r w:rsidR="00EC50A9" w:rsidRPr="00AA23F9">
        <w:rPr>
          <w:rFonts w:ascii="Times New Roman" w:hAnsi="Times New Roman"/>
          <w:sz w:val="28"/>
          <w:szCs w:val="28"/>
        </w:rPr>
        <w:t>в отношении</w:t>
      </w:r>
      <w:r w:rsidR="00EC50A9" w:rsidRPr="007A2359">
        <w:rPr>
          <w:rFonts w:ascii="Times New Roman" w:hAnsi="Times New Roman"/>
          <w:sz w:val="28"/>
          <w:szCs w:val="28"/>
        </w:rPr>
        <w:t xml:space="preserve"> </w:t>
      </w:r>
      <w:r w:rsidR="00EC50A9" w:rsidRPr="00C31F96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EC50A9">
        <w:rPr>
          <w:rFonts w:ascii="Times New Roman" w:hAnsi="Times New Roman"/>
          <w:sz w:val="28"/>
          <w:szCs w:val="28"/>
        </w:rPr>
        <w:t>не проводились по причине отсутствия оснований</w:t>
      </w:r>
      <w:r>
        <w:rPr>
          <w:rFonts w:ascii="Times New Roman" w:hAnsi="Times New Roman"/>
          <w:sz w:val="28"/>
          <w:szCs w:val="28"/>
        </w:rPr>
        <w:t>, предусмотренных ст.</w:t>
      </w:r>
      <w:r w:rsidR="00EC50A9">
        <w:rPr>
          <w:rFonts w:ascii="Times New Roman" w:hAnsi="Times New Roman"/>
          <w:sz w:val="28"/>
          <w:szCs w:val="28"/>
        </w:rPr>
        <w:t xml:space="preserve">57 </w:t>
      </w:r>
      <w:r w:rsidR="008E0FB4">
        <w:rPr>
          <w:rFonts w:ascii="Times New Roman" w:hAnsi="Times New Roman"/>
          <w:sz w:val="28"/>
          <w:szCs w:val="28"/>
        </w:rPr>
        <w:t>Федерального</w:t>
      </w:r>
      <w:r w:rsidR="008E0FB4" w:rsidRPr="00C31F96">
        <w:rPr>
          <w:rFonts w:ascii="Times New Roman" w:hAnsi="Times New Roman"/>
          <w:sz w:val="28"/>
          <w:szCs w:val="28"/>
        </w:rPr>
        <w:t xml:space="preserve"> закон</w:t>
      </w:r>
      <w:r w:rsidR="008E0FB4">
        <w:rPr>
          <w:rFonts w:ascii="Times New Roman" w:hAnsi="Times New Roman"/>
          <w:sz w:val="28"/>
          <w:szCs w:val="28"/>
        </w:rPr>
        <w:t>а</w:t>
      </w:r>
      <w:r w:rsidR="008E0FB4" w:rsidRPr="00C31F96">
        <w:rPr>
          <w:rFonts w:ascii="Times New Roman" w:hAnsi="Times New Roman"/>
          <w:sz w:val="28"/>
          <w:szCs w:val="28"/>
        </w:rPr>
        <w:t xml:space="preserve"> № 248-ФЗ</w:t>
      </w:r>
      <w:r w:rsidR="00EC50A9">
        <w:rPr>
          <w:rFonts w:ascii="Times New Roman" w:hAnsi="Times New Roman"/>
          <w:sz w:val="28"/>
          <w:szCs w:val="28"/>
        </w:rPr>
        <w:t xml:space="preserve"> и </w:t>
      </w:r>
      <w:r w:rsidR="00EC50A9" w:rsidRPr="007A2359">
        <w:rPr>
          <w:rFonts w:ascii="Times New Roman" w:hAnsi="Times New Roman"/>
          <w:sz w:val="28"/>
          <w:szCs w:val="28"/>
        </w:rPr>
        <w:t>п.</w:t>
      </w:r>
      <w:r w:rsidR="00EC50A9">
        <w:rPr>
          <w:rFonts w:ascii="Times New Roman" w:hAnsi="Times New Roman"/>
          <w:sz w:val="28"/>
          <w:szCs w:val="28"/>
        </w:rPr>
        <w:t>3</w:t>
      </w:r>
      <w:r w:rsidR="00EC50A9" w:rsidRPr="007A235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  <w:r w:rsidR="00EC50A9" w:rsidRPr="007A235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C50A9" w:rsidRPr="00A46EEA" w:rsidRDefault="00EC50A9" w:rsidP="008B68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E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соответствии с </w:t>
      </w:r>
      <w:r w:rsidR="00495F1A">
        <w:rPr>
          <w:rFonts w:ascii="Times New Roman" w:hAnsi="Times New Roman"/>
          <w:bCs/>
          <w:sz w:val="28"/>
          <w:szCs w:val="28"/>
          <w:shd w:val="clear" w:color="auto" w:fill="FFFFFF"/>
        </w:rPr>
        <w:t>ч.</w:t>
      </w:r>
      <w:r w:rsidR="007C7DCA">
        <w:rPr>
          <w:rFonts w:ascii="Times New Roman" w:hAnsi="Times New Roman"/>
          <w:bCs/>
          <w:sz w:val="28"/>
          <w:szCs w:val="28"/>
          <w:shd w:val="clear" w:color="auto" w:fill="FFFFFF"/>
        </w:rPr>
        <w:t>2 ст.</w:t>
      </w:r>
      <w:r w:rsidR="00495F1A">
        <w:rPr>
          <w:rFonts w:ascii="Times New Roman" w:hAnsi="Times New Roman"/>
          <w:bCs/>
          <w:sz w:val="28"/>
          <w:szCs w:val="28"/>
          <w:shd w:val="clear" w:color="auto" w:fill="FFFFFF"/>
        </w:rPr>
        <w:t>61 Федерального закона</w:t>
      </w:r>
      <w:r w:rsidRPr="00A46E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248-ФЗ система оценки и управления рисками по данному виду муниципального контроля не применяется, плановые контрольные мероприятия не проводятся.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F9">
        <w:rPr>
          <w:rFonts w:ascii="Times New Roman" w:hAnsi="Times New Roman"/>
          <w:sz w:val="28"/>
          <w:szCs w:val="28"/>
        </w:rPr>
        <w:t>Контрольный орган в рамках осуществления муниципального</w:t>
      </w:r>
      <w:r w:rsidRPr="00C31F96">
        <w:rPr>
          <w:rFonts w:ascii="Times New Roman" w:hAnsi="Times New Roman"/>
          <w:sz w:val="28"/>
          <w:szCs w:val="28"/>
        </w:rPr>
        <w:t xml:space="preserve"> контроля проводит следующие профилактические мероприятия: информирование, объявление предостережения, консультирование, профилактический визит.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Профилактические мероприятия в сфере муниципального лесного контроля направлены на предотвращение нарушений юридическими лицами, индивидуальными предпринимателями и физическими лицами обязательных требований лесного законодательства, устранения причин, факторов и условий, способствующих нарушениям обязательных требований лесного законодательства.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Орган муниципального контроля при проведении профилактических мероприятий осуществляет взаимодействие с гражданами, организациями только в сл</w:t>
      </w:r>
      <w:r w:rsidR="007C7DCA">
        <w:rPr>
          <w:rFonts w:ascii="Times New Roman" w:hAnsi="Times New Roman"/>
          <w:sz w:val="28"/>
          <w:szCs w:val="28"/>
        </w:rPr>
        <w:t>учаях, установленных Федеральным</w:t>
      </w:r>
      <w:r w:rsidRPr="00C31F96">
        <w:rPr>
          <w:rFonts w:ascii="Times New Roman" w:hAnsi="Times New Roman"/>
          <w:sz w:val="28"/>
          <w:szCs w:val="28"/>
        </w:rPr>
        <w:t xml:space="preserve"> закон</w:t>
      </w:r>
      <w:r w:rsidR="007C7DCA">
        <w:rPr>
          <w:rFonts w:ascii="Times New Roman" w:hAnsi="Times New Roman"/>
          <w:sz w:val="28"/>
          <w:szCs w:val="28"/>
        </w:rPr>
        <w:t>ом</w:t>
      </w:r>
      <w:r w:rsidRPr="00C31F96">
        <w:rPr>
          <w:rFonts w:ascii="Times New Roman" w:hAnsi="Times New Roman"/>
          <w:sz w:val="28"/>
          <w:szCs w:val="28"/>
        </w:rPr>
        <w:t xml:space="preserve">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</w:t>
      </w:r>
      <w:r w:rsidR="007C7DCA">
        <w:rPr>
          <w:rFonts w:ascii="Times New Roman" w:hAnsi="Times New Roman"/>
          <w:sz w:val="28"/>
          <w:szCs w:val="28"/>
        </w:rPr>
        <w:t>,</w:t>
      </w:r>
      <w:r w:rsidRPr="00C31F96">
        <w:rPr>
          <w:rFonts w:ascii="Times New Roman" w:hAnsi="Times New Roman"/>
          <w:sz w:val="28"/>
          <w:szCs w:val="28"/>
        </w:rPr>
        <w:t xml:space="preserve"> либо по их инициативе.</w:t>
      </w:r>
    </w:p>
    <w:p w:rsidR="00EC50A9" w:rsidRPr="00EA0032" w:rsidRDefault="00EC50A9" w:rsidP="00EA0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EA0032">
        <w:rPr>
          <w:rFonts w:ascii="Times New Roman" w:hAnsi="Times New Roman"/>
          <w:sz w:val="28"/>
          <w:szCs w:val="28"/>
        </w:rPr>
        <w:t>вред (ущерб) причинен, инспектор незамедлительно направляет информацию об этом начальнику (заместителю начальника) органа муниципального контроля для принятия решения о проведении контрольных мероприятий.</w:t>
      </w:r>
    </w:p>
    <w:p w:rsidR="0040177B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EA0032">
        <w:rPr>
          <w:rFonts w:ascii="Times New Roman" w:hAnsi="Times New Roman"/>
          <w:sz w:val="28"/>
          <w:szCs w:val="28"/>
        </w:rPr>
        <w:t xml:space="preserve">, а также в </w:t>
      </w:r>
      <w:r>
        <w:rPr>
          <w:rFonts w:ascii="Times New Roman" w:hAnsi="Times New Roman"/>
          <w:sz w:val="28"/>
          <w:szCs w:val="28"/>
        </w:rPr>
        <w:t xml:space="preserve">средствах </w:t>
      </w:r>
      <w:r w:rsidRPr="00EA0032">
        <w:rPr>
          <w:rFonts w:ascii="Times New Roman" w:hAnsi="Times New Roman"/>
          <w:sz w:val="28"/>
          <w:szCs w:val="28"/>
        </w:rPr>
        <w:t xml:space="preserve">массовой информации сведений об обязательных требованиях, входящих в предмет муниципального </w:t>
      </w:r>
      <w:r w:rsidR="007C7DCA">
        <w:rPr>
          <w:rFonts w:ascii="Times New Roman" w:hAnsi="Times New Roman"/>
          <w:sz w:val="28"/>
          <w:szCs w:val="28"/>
        </w:rPr>
        <w:t xml:space="preserve">лесного </w:t>
      </w:r>
      <w:r w:rsidRPr="00EA0032">
        <w:rPr>
          <w:rFonts w:ascii="Times New Roman" w:hAnsi="Times New Roman"/>
          <w:sz w:val="28"/>
          <w:szCs w:val="28"/>
        </w:rPr>
        <w:t>контроля; сведения о способах получения консультаций по вопросам соблюдения обязательных требований, а также программ профи</w:t>
      </w:r>
      <w:r w:rsidR="007C7DCA">
        <w:rPr>
          <w:rFonts w:ascii="Times New Roman" w:hAnsi="Times New Roman"/>
          <w:sz w:val="28"/>
          <w:szCs w:val="28"/>
        </w:rPr>
        <w:t>лактики рисков причинения вреда, в иных формах.</w:t>
      </w:r>
    </w:p>
    <w:p w:rsidR="00EC50A9" w:rsidRPr="00EA0032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города создан раздел «Муниципальный контроль», в котором размещены: </w:t>
      </w:r>
      <w:hyperlink r:id="rId5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исчерпывающий перечень сведений, которые могут запрашиваться контрольным органом у контролируемого лица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6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перечень индикаторов риска нарушения обязательных требований;</w:t>
        </w:r>
      </w:hyperlink>
      <w:r w:rsidRPr="00EA003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перечень актов, содержащих обязательные требования, оценка соблюдения которых является предметом муниципального</w:t>
        </w:r>
        <w:r w:rsidR="0040177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лесного</w:t>
        </w:r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контроля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об изменениях, внесенных в нормативные правовые акты, регулирующие осуществление муниципального</w:t>
        </w:r>
        <w:r w:rsidR="0040177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лесного</w:t>
        </w:r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контроля, о сроках и порядке их вступления в силу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Pr="00EA003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 способах получения консультаций по вопросам соблюдения обязательных требований</w:t>
        </w:r>
      </w:hyperlink>
      <w:r w:rsidRPr="00EA0032">
        <w:rPr>
          <w:rFonts w:ascii="Times New Roman" w:hAnsi="Times New Roman"/>
          <w:sz w:val="28"/>
          <w:szCs w:val="28"/>
        </w:rPr>
        <w:t>.</w:t>
      </w:r>
    </w:p>
    <w:p w:rsidR="00EC50A9" w:rsidRPr="00EA0032" w:rsidRDefault="00EC50A9" w:rsidP="00EA0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>Предостережения о недопустимости нарушения обязательных требований объявляются и направляются контролируемым лицам в случае наличия сведений о готовящихся нарушениях обязательных требований и признаках нарушения обязательных требований</w:t>
      </w:r>
      <w:r w:rsidR="0040177B">
        <w:rPr>
          <w:rFonts w:ascii="Times New Roman" w:hAnsi="Times New Roman"/>
          <w:sz w:val="28"/>
          <w:szCs w:val="28"/>
        </w:rPr>
        <w:t>, в ходящих в предмет муниципального лесного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15FFD" w:rsidRPr="00F15FFD" w:rsidRDefault="00EC50A9" w:rsidP="00495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C31F96">
        <w:rPr>
          <w:rFonts w:ascii="Times New Roman" w:hAnsi="Times New Roman"/>
          <w:sz w:val="28"/>
          <w:szCs w:val="28"/>
        </w:rPr>
        <w:t xml:space="preserve">. </w:t>
      </w:r>
      <w:r w:rsidR="00F15FFD" w:rsidRPr="00F15FFD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</w:t>
      </w:r>
      <w:r w:rsidR="002623EA">
        <w:rPr>
          <w:rFonts w:ascii="Times New Roman" w:hAnsi="Times New Roman"/>
          <w:sz w:val="28"/>
          <w:szCs w:val="28"/>
        </w:rPr>
        <w:t>аняемым законом ценностям в 2024</w:t>
      </w:r>
      <w:r w:rsidR="00F15FFD" w:rsidRPr="00F15FFD">
        <w:rPr>
          <w:rFonts w:ascii="Times New Roman" w:hAnsi="Times New Roman"/>
          <w:sz w:val="28"/>
          <w:szCs w:val="28"/>
        </w:rPr>
        <w:t xml:space="preserve"> году, в соответствии с </w:t>
      </w:r>
      <w:hyperlink r:id="rId10" w:history="1">
        <w:r w:rsidR="00F15FFD" w:rsidRPr="00F15FFD">
          <w:rPr>
            <w:rFonts w:ascii="Times New Roman" w:hAnsi="Times New Roman"/>
            <w:sz w:val="28"/>
            <w:szCs w:val="28"/>
          </w:rPr>
          <w:t>Программой</w:t>
        </w:r>
      </w:hyperlink>
      <w:r w:rsidR="00F15FFD" w:rsidRPr="00F15FFD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F15FFD">
        <w:rPr>
          <w:rFonts w:ascii="Times New Roman" w:hAnsi="Times New Roman"/>
          <w:sz w:val="28"/>
          <w:szCs w:val="28"/>
        </w:rPr>
        <w:t xml:space="preserve">лесного </w:t>
      </w:r>
      <w:r w:rsidR="00F15FFD" w:rsidRPr="00F15FFD">
        <w:rPr>
          <w:rFonts w:ascii="Times New Roman" w:hAnsi="Times New Roman"/>
          <w:sz w:val="28"/>
          <w:szCs w:val="28"/>
        </w:rPr>
        <w:t xml:space="preserve">контроля </w:t>
      </w:r>
      <w:r w:rsidR="002623EA">
        <w:rPr>
          <w:rFonts w:ascii="Times New Roman" w:hAnsi="Times New Roman"/>
          <w:sz w:val="28"/>
          <w:szCs w:val="28"/>
        </w:rPr>
        <w:t xml:space="preserve">на территории </w:t>
      </w:r>
      <w:r w:rsidR="00495F1A">
        <w:rPr>
          <w:rFonts w:ascii="Times New Roman" w:hAnsi="Times New Roman"/>
          <w:sz w:val="28"/>
          <w:szCs w:val="28"/>
        </w:rPr>
        <w:t xml:space="preserve">города Пыть-Яха </w:t>
      </w:r>
      <w:r w:rsidR="002623EA">
        <w:rPr>
          <w:rFonts w:ascii="Times New Roman" w:hAnsi="Times New Roman"/>
          <w:sz w:val="28"/>
          <w:szCs w:val="28"/>
        </w:rPr>
        <w:t>на 2024</w:t>
      </w:r>
      <w:r w:rsidR="00F15FFD" w:rsidRPr="00F15FFD">
        <w:rPr>
          <w:rFonts w:ascii="Times New Roman" w:hAnsi="Times New Roman"/>
          <w:sz w:val="28"/>
          <w:szCs w:val="28"/>
        </w:rPr>
        <w:t xml:space="preserve"> год, утвержденной </w:t>
      </w:r>
      <w:r w:rsidR="00684C9C">
        <w:rPr>
          <w:rFonts w:ascii="Times New Roman" w:hAnsi="Times New Roman"/>
          <w:sz w:val="28"/>
          <w:szCs w:val="28"/>
        </w:rPr>
        <w:t>приказом отдела муниципального контроля администрации города Пыть-Яха от 12.12.2023</w:t>
      </w:r>
      <w:r w:rsidR="00F15FFD" w:rsidRPr="00F15FFD">
        <w:rPr>
          <w:rFonts w:ascii="Times New Roman" w:hAnsi="Times New Roman"/>
          <w:sz w:val="28"/>
          <w:szCs w:val="28"/>
        </w:rPr>
        <w:t xml:space="preserve"> № </w:t>
      </w:r>
      <w:r w:rsidR="00684C9C">
        <w:rPr>
          <w:rFonts w:ascii="Times New Roman" w:hAnsi="Times New Roman"/>
          <w:sz w:val="28"/>
          <w:szCs w:val="28"/>
        </w:rPr>
        <w:t>4</w:t>
      </w:r>
      <w:r w:rsidR="00F15FFD" w:rsidRPr="00F15FFD">
        <w:rPr>
          <w:rFonts w:ascii="Times New Roman" w:hAnsi="Times New Roman"/>
          <w:sz w:val="28"/>
          <w:szCs w:val="28"/>
        </w:rPr>
        <w:t>, осуществляются следующие мероприятия:</w:t>
      </w:r>
    </w:p>
    <w:p w:rsidR="00F15FFD" w:rsidRPr="001405CE" w:rsidRDefault="00F15FFD" w:rsidP="00495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FFD">
        <w:rPr>
          <w:rFonts w:ascii="Times New Roman" w:hAnsi="Times New Roman" w:cs="Times New Roman"/>
          <w:b/>
          <w:sz w:val="28"/>
          <w:szCs w:val="28"/>
        </w:rPr>
        <w:t>-</w:t>
      </w:r>
      <w:r w:rsidRPr="00F15FF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</w:t>
      </w:r>
      <w:r w:rsidRPr="001405CE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</w:t>
      </w:r>
      <w:r w:rsidR="00684C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1405C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в рубрике «</w:t>
      </w:r>
      <w:r w:rsidRPr="001405CE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лесной</w:t>
      </w:r>
      <w:r w:rsidRPr="001405CE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05CE">
        <w:rPr>
          <w:rFonts w:ascii="Times New Roman" w:hAnsi="Times New Roman" w:cs="Times New Roman"/>
          <w:sz w:val="28"/>
          <w:szCs w:val="28"/>
        </w:rPr>
        <w:t xml:space="preserve"> актуализированы: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 xml:space="preserve">тексты нормативных правовых актов, регулирующих осуществление муниципального </w:t>
      </w:r>
      <w:r>
        <w:rPr>
          <w:rFonts w:ascii="Times New Roman" w:hAnsi="Times New Roman" w:cs="Times New Roman"/>
          <w:sz w:val="28"/>
        </w:rPr>
        <w:t xml:space="preserve">лесного </w:t>
      </w:r>
      <w:r w:rsidRPr="001405CE">
        <w:rPr>
          <w:rFonts w:ascii="Times New Roman" w:hAnsi="Times New Roman" w:cs="Times New Roman"/>
          <w:sz w:val="28"/>
        </w:rPr>
        <w:t>контроля;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>сведения об изменениях, внесенных в нормативные правовые акты, регулирующ</w:t>
      </w:r>
      <w:r>
        <w:rPr>
          <w:rFonts w:ascii="Times New Roman" w:hAnsi="Times New Roman" w:cs="Times New Roman"/>
          <w:sz w:val="28"/>
        </w:rPr>
        <w:t>ие осуществление муниципального лесного</w:t>
      </w:r>
      <w:r w:rsidRPr="001405CE">
        <w:rPr>
          <w:rFonts w:ascii="Times New Roman" w:hAnsi="Times New Roman" w:cs="Times New Roman"/>
          <w:sz w:val="28"/>
        </w:rPr>
        <w:t xml:space="preserve"> контроля, о сроках и порядке их вступления в силу;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1405CE">
        <w:rPr>
          <w:rFonts w:ascii="Times New Roman" w:hAnsi="Times New Roman" w:cs="Times New Roman"/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</w:t>
      </w:r>
      <w:r>
        <w:rPr>
          <w:rFonts w:ascii="Times New Roman" w:hAnsi="Times New Roman" w:cs="Times New Roman"/>
          <w:sz w:val="28"/>
        </w:rPr>
        <w:t xml:space="preserve">метом муниципального лесного </w:t>
      </w:r>
      <w:r w:rsidRPr="001405CE">
        <w:rPr>
          <w:rFonts w:ascii="Times New Roman" w:hAnsi="Times New Roman" w:cs="Times New Roman"/>
          <w:sz w:val="28"/>
        </w:rPr>
        <w:t>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405CE">
        <w:rPr>
          <w:rFonts w:ascii="Times New Roman" w:hAnsi="Times New Roman" w:cs="Times New Roman"/>
          <w:sz w:val="28"/>
        </w:rPr>
        <w:t>сведения о способах получения консультаций по вопросам соблюдения обязательных требований;</w:t>
      </w:r>
    </w:p>
    <w:p w:rsidR="00F15FFD" w:rsidRPr="001405CE" w:rsidRDefault="00F15FFD" w:rsidP="00F15FF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1405CE">
        <w:rPr>
          <w:rFonts w:ascii="Times New Roman" w:hAnsi="Times New Roman" w:cs="Times New Roman"/>
          <w:sz w:val="28"/>
        </w:rPr>
        <w:t>доклад о муниципальном</w:t>
      </w:r>
      <w:r>
        <w:rPr>
          <w:rFonts w:ascii="Times New Roman" w:hAnsi="Times New Roman" w:cs="Times New Roman"/>
          <w:sz w:val="28"/>
        </w:rPr>
        <w:t xml:space="preserve"> лесном</w:t>
      </w:r>
      <w:r w:rsidRPr="001405CE">
        <w:rPr>
          <w:rFonts w:ascii="Times New Roman" w:hAnsi="Times New Roman" w:cs="Times New Roman"/>
          <w:sz w:val="28"/>
        </w:rPr>
        <w:t xml:space="preserve"> контроле</w:t>
      </w:r>
      <w:r>
        <w:rPr>
          <w:rFonts w:ascii="Times New Roman" w:hAnsi="Times New Roman" w:cs="Times New Roman"/>
          <w:sz w:val="28"/>
        </w:rPr>
        <w:t xml:space="preserve"> </w:t>
      </w:r>
      <w:r w:rsidRPr="00DD523A">
        <w:rPr>
          <w:rFonts w:ascii="Times New Roman" w:hAnsi="Times New Roman" w:cs="Times New Roman"/>
          <w:sz w:val="28"/>
          <w:szCs w:val="28"/>
        </w:rPr>
        <w:t>в границах города Пыть-Яха</w:t>
      </w:r>
      <w:r w:rsidRPr="001405CE">
        <w:rPr>
          <w:rFonts w:ascii="Times New Roman" w:hAnsi="Times New Roman" w:cs="Times New Roman"/>
          <w:sz w:val="28"/>
        </w:rPr>
        <w:t>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C0">
        <w:rPr>
          <w:rFonts w:ascii="Times New Roman" w:hAnsi="Times New Roman" w:cs="Times New Roman"/>
          <w:b/>
          <w:sz w:val="28"/>
          <w:szCs w:val="28"/>
        </w:rPr>
        <w:t>-</w:t>
      </w:r>
      <w:r w:rsidRPr="001405CE">
        <w:rPr>
          <w:rFonts w:ascii="Times New Roman" w:hAnsi="Times New Roman" w:cs="Times New Roman"/>
          <w:sz w:val="28"/>
          <w:szCs w:val="28"/>
        </w:rPr>
        <w:t xml:space="preserve">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1405CE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в форме</w:t>
      </w:r>
      <w:r w:rsidRPr="001405CE">
        <w:rPr>
          <w:rFonts w:ascii="Times New Roman" w:hAnsi="Times New Roman" w:cs="Times New Roman"/>
          <w:sz w:val="28"/>
        </w:rPr>
        <w:t xml:space="preserve"> видео-конференц-связи, на личном приеме</w:t>
      </w:r>
      <w:r>
        <w:rPr>
          <w:rFonts w:ascii="Times New Roman" w:hAnsi="Times New Roman" w:cs="Times New Roman"/>
          <w:sz w:val="28"/>
        </w:rPr>
        <w:t>,</w:t>
      </w:r>
      <w:r w:rsidRPr="001405CE">
        <w:rPr>
          <w:rFonts w:ascii="Times New Roman" w:hAnsi="Times New Roman" w:cs="Times New Roman"/>
          <w:sz w:val="28"/>
        </w:rPr>
        <w:t xml:space="preserve"> либо в ходе проведения профилактического мероприятия, контрольного мероприятия в порядке, установленном положением о виде контроля;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CE">
        <w:rPr>
          <w:rFonts w:ascii="Times New Roman" w:hAnsi="Times New Roman" w:cs="Times New Roman"/>
          <w:sz w:val="28"/>
          <w:szCs w:val="28"/>
        </w:rPr>
        <w:t>постоянного мониторинга изменений обязательных требований, требований, установленных муниципальными правовыми актами, по итогам которого в общед</w:t>
      </w:r>
      <w:r>
        <w:rPr>
          <w:rFonts w:ascii="Times New Roman" w:hAnsi="Times New Roman" w:cs="Times New Roman"/>
          <w:sz w:val="28"/>
          <w:szCs w:val="28"/>
        </w:rPr>
        <w:t>оступных источниках (в рубрике «Муниципальный контроль»</w:t>
      </w:r>
      <w:r w:rsidRPr="001405CE">
        <w:rPr>
          <w:rFonts w:ascii="Times New Roman" w:hAnsi="Times New Roman" w:cs="Times New Roman"/>
          <w:sz w:val="28"/>
          <w:szCs w:val="28"/>
        </w:rPr>
        <w:t xml:space="preserve"> 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F2772">
        <w:rPr>
          <w:rFonts w:ascii="Times New Roman" w:hAnsi="Times New Roman" w:cs="Times New Roman"/>
          <w:sz w:val="28"/>
          <w:szCs w:val="28"/>
        </w:rPr>
        <w:t>Эффективность реализации</w:t>
      </w:r>
      <w:r w:rsidRPr="001405CE">
        <w:rPr>
          <w:rFonts w:ascii="Times New Roman" w:hAnsi="Times New Roman" w:cs="Times New Roman"/>
          <w:sz w:val="28"/>
          <w:szCs w:val="28"/>
        </w:rPr>
        <w:t xml:space="preserve"> п</w:t>
      </w:r>
      <w:r w:rsidRPr="001405CE">
        <w:rPr>
          <w:rFonts w:ascii="Times New Roman" w:hAnsi="Times New Roman" w:cs="Times New Roman"/>
          <w:sz w:val="28"/>
        </w:rPr>
        <w:t>рограммы профилактики рисков причинения вреда (ущерба) охраняемым законом ценностям при осуществлении муниципального</w:t>
      </w:r>
      <w:r w:rsidR="00684C9C">
        <w:rPr>
          <w:rFonts w:ascii="Times New Roman" w:hAnsi="Times New Roman" w:cs="Times New Roman"/>
          <w:sz w:val="28"/>
        </w:rPr>
        <w:t xml:space="preserve"> лесного</w:t>
      </w:r>
      <w:r w:rsidRPr="001405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контроля </w:t>
      </w:r>
      <w:r w:rsidR="00495F1A">
        <w:rPr>
          <w:rFonts w:ascii="Times New Roman" w:hAnsi="Times New Roman" w:cs="Times New Roman"/>
          <w:sz w:val="28"/>
        </w:rPr>
        <w:t>за 8 (восемь) месяцев</w:t>
      </w:r>
      <w:r w:rsidR="00684C9C">
        <w:rPr>
          <w:rFonts w:ascii="Times New Roman" w:hAnsi="Times New Roman" w:cs="Times New Roman"/>
          <w:sz w:val="28"/>
        </w:rPr>
        <w:t xml:space="preserve"> 2024</w:t>
      </w:r>
      <w:r w:rsidRPr="001405CE">
        <w:rPr>
          <w:rFonts w:ascii="Times New Roman" w:hAnsi="Times New Roman" w:cs="Times New Roman"/>
          <w:sz w:val="28"/>
        </w:rPr>
        <w:t xml:space="preserve"> год</w:t>
      </w:r>
      <w:r w:rsidR="00495F1A">
        <w:rPr>
          <w:rFonts w:ascii="Times New Roman" w:hAnsi="Times New Roman" w:cs="Times New Roman"/>
          <w:sz w:val="28"/>
        </w:rPr>
        <w:t>а</w:t>
      </w:r>
      <w:r w:rsidRPr="001405CE">
        <w:rPr>
          <w:rFonts w:ascii="Times New Roman" w:hAnsi="Times New Roman" w:cs="Times New Roman"/>
          <w:sz w:val="28"/>
        </w:rPr>
        <w:t>:</w:t>
      </w:r>
    </w:p>
    <w:p w:rsidR="00F15FFD" w:rsidRPr="001405CE" w:rsidRDefault="00F15FFD" w:rsidP="00F15FF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</w:rPr>
      </w:pPr>
      <w:r w:rsidRPr="00207CC0">
        <w:rPr>
          <w:rFonts w:ascii="Times New Roman" w:hAnsi="Times New Roman" w:cs="Times New Roman"/>
          <w:b/>
          <w:sz w:val="28"/>
        </w:rPr>
        <w:t>-</w:t>
      </w:r>
      <w:r w:rsidRPr="001405CE">
        <w:rPr>
          <w:rFonts w:ascii="Times New Roman" w:hAnsi="Times New Roman" w:cs="Times New Roman"/>
          <w:sz w:val="28"/>
        </w:rPr>
        <w:t xml:space="preserve"> размещение информации на официальном сайте органов местного самоуправления города </w:t>
      </w:r>
      <w:r>
        <w:rPr>
          <w:rFonts w:ascii="Times New Roman" w:hAnsi="Times New Roman" w:cs="Times New Roman"/>
          <w:sz w:val="28"/>
        </w:rPr>
        <w:t>Пыть-Яха</w:t>
      </w:r>
      <w:r w:rsidRPr="001405CE">
        <w:rPr>
          <w:rFonts w:ascii="Times New Roman" w:hAnsi="Times New Roman" w:cs="Times New Roman"/>
          <w:sz w:val="28"/>
        </w:rPr>
        <w:t xml:space="preserve"> в соответствии со статьей 46 Федерального закона №248-ФЗ – 100%;</w:t>
      </w:r>
    </w:p>
    <w:p w:rsidR="00F15FFD" w:rsidRPr="001405CE" w:rsidRDefault="00F15FFD" w:rsidP="00F15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C0">
        <w:rPr>
          <w:rFonts w:ascii="Times New Roman" w:hAnsi="Times New Roman" w:cs="Times New Roman"/>
          <w:b/>
          <w:sz w:val="28"/>
        </w:rPr>
        <w:t>-</w:t>
      </w:r>
      <w:r w:rsidRPr="001405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405CE">
        <w:rPr>
          <w:rFonts w:ascii="Times New Roman" w:hAnsi="Times New Roman" w:cs="Times New Roman"/>
          <w:sz w:val="28"/>
        </w:rPr>
        <w:t xml:space="preserve">доля контролируемых лиц, удовлетворенных консультированием в общем количестве контролируемых лиц, обратившихся за </w:t>
      </w:r>
      <w:r w:rsidR="00495F1A">
        <w:rPr>
          <w:rFonts w:ascii="Times New Roman" w:hAnsi="Times New Roman" w:cs="Times New Roman"/>
          <w:sz w:val="28"/>
        </w:rPr>
        <w:br/>
      </w:r>
      <w:r w:rsidRPr="001405CE">
        <w:rPr>
          <w:rFonts w:ascii="Times New Roman" w:hAnsi="Times New Roman" w:cs="Times New Roman"/>
          <w:sz w:val="28"/>
        </w:rPr>
        <w:t>консультацией – 100%.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Основными проблемами, на решение которых направлена Программа, являются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Пути решения проблемы: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повышение уровня правосознания контролируемых лиц, а также формирование ответственного отношения к исполнению своих правовых обязанностей;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обеспечение достаточного контроля со стороны руководителей контролируемых лиц за исполнением должностных обязанностей сотрудниками;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 снижение рисков причинения вреда охраняемым законом ценностям;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увеличение доли законопослушных контролируемых лиц – развитие                 системы профилактических мероприятий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разработка и внедрение технологий профилактической работы внутри          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разработка образцов эффективного, законопослушного поведения                   контролируемыми лицами;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обеспечение квалифицированной профилактической работы должностных лиц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повышение прозрачности деятельности органа муниципального                       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повышение уровня правовой грамотности контролируемых лиц;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мотивация контролируемых лиц к добросовестному поведению.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Раздел III.  Цели и задачи реализации Программы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5"/>
      <w:r w:rsidRPr="00C31F96">
        <w:rPr>
          <w:rFonts w:ascii="Times New Roman" w:hAnsi="Times New Roman"/>
          <w:sz w:val="28"/>
          <w:szCs w:val="28"/>
        </w:rPr>
        <w:t>3.1. Цели реализации Программы:</w:t>
      </w:r>
    </w:p>
    <w:bookmarkEnd w:id="4"/>
    <w:p w:rsidR="00EC50A9" w:rsidRPr="00C31F96" w:rsidRDefault="0040177B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0A9" w:rsidRPr="00C31F96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</w:t>
      </w:r>
      <w:r w:rsidR="007C7DCA">
        <w:rPr>
          <w:rFonts w:ascii="Times New Roman" w:hAnsi="Times New Roman"/>
          <w:sz w:val="28"/>
          <w:szCs w:val="28"/>
        </w:rPr>
        <w:t xml:space="preserve">лесного законодательства </w:t>
      </w:r>
      <w:r w:rsidR="00EC50A9" w:rsidRPr="00C31F96">
        <w:rPr>
          <w:rFonts w:ascii="Times New Roman" w:hAnsi="Times New Roman"/>
          <w:sz w:val="28"/>
          <w:szCs w:val="28"/>
        </w:rPr>
        <w:t>всеми контролируемыми лицами;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                                к нарушениям обязательных требований и (или) причинению вреда (ущерба) охраняемым законом ценностям в отношении объектов </w:t>
      </w:r>
      <w:r>
        <w:rPr>
          <w:rFonts w:ascii="Times New Roman" w:hAnsi="Times New Roman"/>
          <w:sz w:val="28"/>
          <w:szCs w:val="28"/>
        </w:rPr>
        <w:t xml:space="preserve">лесных </w:t>
      </w:r>
      <w:r w:rsidRPr="00C31F96">
        <w:rPr>
          <w:rFonts w:ascii="Times New Roman" w:hAnsi="Times New Roman"/>
          <w:sz w:val="28"/>
          <w:szCs w:val="28"/>
        </w:rPr>
        <w:t>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                              до контролируемых лиц, повышение информированности о способах                               их соблюдения.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3.2. Задачи реализации Программы: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                  нарушению обязательных требований, разработка мероприятий, направленных                                  на устранение нарушений обязательных требований в отношении объектов </w:t>
      </w:r>
      <w:r>
        <w:rPr>
          <w:rFonts w:ascii="Times New Roman" w:hAnsi="Times New Roman"/>
          <w:sz w:val="28"/>
          <w:szCs w:val="28"/>
        </w:rPr>
        <w:t>лесных</w:t>
      </w:r>
      <w:r w:rsidRPr="00C31F96">
        <w:rPr>
          <w:rFonts w:ascii="Times New Roman" w:hAnsi="Times New Roman"/>
          <w:sz w:val="28"/>
          <w:szCs w:val="28"/>
        </w:rPr>
        <w:t xml:space="preserve"> 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повышение правосознания и правовой культуры юридических лиц, индивидуальных предпринимателей и граждан в сфере </w:t>
      </w:r>
      <w:r>
        <w:rPr>
          <w:rFonts w:ascii="Times New Roman" w:hAnsi="Times New Roman"/>
          <w:sz w:val="28"/>
          <w:szCs w:val="28"/>
        </w:rPr>
        <w:t>лесных</w:t>
      </w:r>
      <w:r w:rsidRPr="00C31F96">
        <w:rPr>
          <w:rFonts w:ascii="Times New Roman" w:hAnsi="Times New Roman"/>
          <w:sz w:val="28"/>
          <w:szCs w:val="28"/>
        </w:rPr>
        <w:t xml:space="preserve"> правоотношений;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IV. Перечень профилактических мероприятий, </w:t>
      </w:r>
      <w:r w:rsidRPr="00C31F96">
        <w:rPr>
          <w:rFonts w:ascii="Times New Roman" w:hAnsi="Times New Roman"/>
          <w:b/>
          <w:sz w:val="28"/>
          <w:szCs w:val="28"/>
        </w:rPr>
        <w:br/>
        <w:t>сроки (периодичность) их проведения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404"/>
        <w:gridCol w:w="2131"/>
        <w:gridCol w:w="2461"/>
      </w:tblGrid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04" w:type="dxa"/>
          </w:tcPr>
          <w:p w:rsidR="00EC50A9" w:rsidRPr="00E90816" w:rsidRDefault="00EC50A9" w:rsidP="00EA0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должностные лица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 w:val="restart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Информирование посредством размещения (поддержания в актуальном состоянии) на официальном сайте: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лесного контроля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7C55A5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C50A9" w:rsidRPr="00E9081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перечня</w:t>
              </w:r>
            </w:hyperlink>
            <w:r w:rsidR="00EC50A9" w:rsidRPr="00E9081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в течение 5 дней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сведений о способах получения консультаций по вопросам соблюдения обязательных требований лесного законодательства 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доклада о муниципальном контроле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5 дней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(при наличии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оснований)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Консультирование должностным лицом контрольного органа по вопросам, связанным с организацией и осуществлением муниципального контроля в отношении контролируемых лиц. Осуществляется должностным лицом уполномоченного органа: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  по телефону;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посредством видео-конференц-связи;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на личном приеме;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посредством письменного ответа;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в ходе проведения профилактических, контрольных мероприятий, установленных Положением о муниципальном лесном контроле на территории города Пыть-Яха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 при поступлении обращений от контролируемых лиц и их представителей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сфере.</w:t>
            </w:r>
          </w:p>
        </w:tc>
        <w:tc>
          <w:tcPr>
            <w:tcW w:w="2131" w:type="dxa"/>
          </w:tcPr>
          <w:p w:rsidR="0040177B" w:rsidRPr="00E90816" w:rsidRDefault="0040177B" w:rsidP="00401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0177B" w:rsidRPr="00E90816" w:rsidRDefault="0040177B" w:rsidP="00401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40177B" w:rsidP="00401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</w:tbl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046A" w:rsidRDefault="0036046A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V. Показатели результативности </w:t>
      </w:r>
      <w:r w:rsidRPr="00C31F96">
        <w:rPr>
          <w:rFonts w:ascii="Times New Roman" w:hAnsi="Times New Roman"/>
          <w:b/>
          <w:sz w:val="28"/>
          <w:szCs w:val="28"/>
        </w:rPr>
        <w:br/>
        <w:t>и эффективности Программы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Реализация программы профилактики способствует: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увеличению доли контролируемых лиц, соблюдающих обязательные требования лесного законодательства;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снижению рисков причинения вреда охраняемым законом ценностям;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внедрению различных способов профилактики;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разработке образцов эффективного, законопослушного поведения подконтрольных субъектов;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обеспечению квалифицированной профилактической работы должностных лиц контрольного органа;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повышению прозрачности деятельности контрольного органа;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</w:t>
      </w:r>
      <w:r w:rsidR="0036046A">
        <w:rPr>
          <w:rFonts w:ascii="Times New Roman" w:hAnsi="Times New Roman"/>
          <w:sz w:val="28"/>
          <w:szCs w:val="28"/>
        </w:rPr>
        <w:t xml:space="preserve">  </w:t>
      </w:r>
      <w:r w:rsidRPr="00C31F96">
        <w:rPr>
          <w:rFonts w:ascii="Times New Roman" w:hAnsi="Times New Roman"/>
          <w:sz w:val="28"/>
          <w:szCs w:val="28"/>
        </w:rPr>
        <w:t>повышению уровня правовой грамотности подконтрольных субъектов;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обеспечению единообразия понимания предмета контроля подконтрольными субъектами;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мотивации подконтрольных субъектов к добросовестному поведению.</w:t>
      </w:r>
    </w:p>
    <w:p w:rsidR="00EC50A9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046A" w:rsidRPr="00C31F96" w:rsidRDefault="0036046A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668"/>
        <w:gridCol w:w="3344"/>
      </w:tblGrid>
      <w:tr w:rsidR="00EC50A9" w:rsidRPr="00E90816" w:rsidTr="0036046A">
        <w:tc>
          <w:tcPr>
            <w:tcW w:w="59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4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C50A9" w:rsidRPr="00E90816" w:rsidTr="0036046A">
        <w:tc>
          <w:tcPr>
            <w:tcW w:w="594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в соответствии со статьей 46 Федерального закона № 248-ФЗ</w:t>
            </w:r>
          </w:p>
        </w:tc>
        <w:tc>
          <w:tcPr>
            <w:tcW w:w="334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C50A9" w:rsidRPr="00E90816" w:rsidTr="0036046A">
        <w:tc>
          <w:tcPr>
            <w:tcW w:w="594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3344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</w:tr>
    </w:tbl>
    <w:p w:rsidR="00EC50A9" w:rsidRPr="00C31F96" w:rsidRDefault="00EC50A9" w:rsidP="0036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50A9" w:rsidRPr="00C31F96" w:rsidSect="007C55A5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1A8"/>
    <w:multiLevelType w:val="hybridMultilevel"/>
    <w:tmpl w:val="DC84723E"/>
    <w:lvl w:ilvl="0" w:tplc="2C3C6AD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64079FC"/>
    <w:multiLevelType w:val="hybridMultilevel"/>
    <w:tmpl w:val="56F8E794"/>
    <w:lvl w:ilvl="0" w:tplc="37504FD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6392ACD"/>
    <w:multiLevelType w:val="hybridMultilevel"/>
    <w:tmpl w:val="C13CAC5E"/>
    <w:lvl w:ilvl="0" w:tplc="5DE0D74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352"/>
    <w:rsid w:val="0004155E"/>
    <w:rsid w:val="0004695B"/>
    <w:rsid w:val="00050E66"/>
    <w:rsid w:val="00092352"/>
    <w:rsid w:val="000B53CF"/>
    <w:rsid w:val="00184164"/>
    <w:rsid w:val="002623EA"/>
    <w:rsid w:val="002A3EDB"/>
    <w:rsid w:val="002B3079"/>
    <w:rsid w:val="003565C5"/>
    <w:rsid w:val="0036046A"/>
    <w:rsid w:val="003722CE"/>
    <w:rsid w:val="0038033D"/>
    <w:rsid w:val="0040177B"/>
    <w:rsid w:val="00481A53"/>
    <w:rsid w:val="00495F1A"/>
    <w:rsid w:val="004C51E1"/>
    <w:rsid w:val="004F2EB8"/>
    <w:rsid w:val="00502FCC"/>
    <w:rsid w:val="0053703C"/>
    <w:rsid w:val="00563759"/>
    <w:rsid w:val="006031F1"/>
    <w:rsid w:val="00603D04"/>
    <w:rsid w:val="00642991"/>
    <w:rsid w:val="00675D30"/>
    <w:rsid w:val="00684C9C"/>
    <w:rsid w:val="006B0B2E"/>
    <w:rsid w:val="006E642D"/>
    <w:rsid w:val="00725C32"/>
    <w:rsid w:val="00786FD9"/>
    <w:rsid w:val="007A2359"/>
    <w:rsid w:val="007C55A5"/>
    <w:rsid w:val="007C7DCA"/>
    <w:rsid w:val="00816A1A"/>
    <w:rsid w:val="00864D79"/>
    <w:rsid w:val="008B68C0"/>
    <w:rsid w:val="008E0FB4"/>
    <w:rsid w:val="009259E7"/>
    <w:rsid w:val="009540E9"/>
    <w:rsid w:val="009E0BF5"/>
    <w:rsid w:val="009E6BB3"/>
    <w:rsid w:val="00A23D8C"/>
    <w:rsid w:val="00A437FF"/>
    <w:rsid w:val="00A46EEA"/>
    <w:rsid w:val="00A76676"/>
    <w:rsid w:val="00AA23F9"/>
    <w:rsid w:val="00AB41B7"/>
    <w:rsid w:val="00AD7A01"/>
    <w:rsid w:val="00BA1B2C"/>
    <w:rsid w:val="00BB1582"/>
    <w:rsid w:val="00C31F96"/>
    <w:rsid w:val="00C83CB2"/>
    <w:rsid w:val="00DE551F"/>
    <w:rsid w:val="00E05D6F"/>
    <w:rsid w:val="00E266A7"/>
    <w:rsid w:val="00E440D4"/>
    <w:rsid w:val="00E621C8"/>
    <w:rsid w:val="00E650FC"/>
    <w:rsid w:val="00E90816"/>
    <w:rsid w:val="00E97078"/>
    <w:rsid w:val="00EA0032"/>
    <w:rsid w:val="00EB3731"/>
    <w:rsid w:val="00EC50A9"/>
    <w:rsid w:val="00EC5675"/>
    <w:rsid w:val="00F15FFD"/>
    <w:rsid w:val="00F527AB"/>
    <w:rsid w:val="00F67A94"/>
    <w:rsid w:val="00F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E9E11-33B0-4919-81FA-C378B76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1F96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1F9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31F96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1F9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31F9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31F9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31F96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31F96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31F96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F96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31F96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31F96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31F96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C31F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C31F96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31F96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31F96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31F96"/>
    <w:rPr>
      <w:rFonts w:ascii="Arial" w:hAnsi="Arial" w:cs="Times New Roman"/>
      <w:b/>
      <w:i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66A7"/>
    <w:pPr>
      <w:ind w:left="720"/>
      <w:contextualSpacing/>
    </w:pPr>
  </w:style>
  <w:style w:type="table" w:styleId="a4">
    <w:name w:val="Table Grid"/>
    <w:basedOn w:val="a1"/>
    <w:uiPriority w:val="99"/>
    <w:rsid w:val="0072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786FD9"/>
    <w:rPr>
      <w:rFonts w:cs="Times New Roman"/>
      <w:color w:val="0563C1"/>
      <w:u w:val="single"/>
    </w:rPr>
  </w:style>
  <w:style w:type="paragraph" w:styleId="a6">
    <w:name w:val="Body Text"/>
    <w:basedOn w:val="a"/>
    <w:link w:val="a7"/>
    <w:uiPriority w:val="99"/>
    <w:rsid w:val="00C31F96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31F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37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7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0/444/52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.gov86.org/436/440/444/45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gov86.org/436/440/444/5223/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adm.gov86.org/436/440/444/5226/" TargetMode="External"/><Relationship Id="rId10" Type="http://schemas.openxmlformats.org/officeDocument/2006/relationships/hyperlink" Target="https://login.consultant.ru/link/?req=doc&amp;base=RLAW926&amp;n=223961&amp;date=20.09.2022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436/440/444/52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Май</dc:creator>
  <cp:keywords/>
  <dc:description/>
  <cp:lastModifiedBy>Петр Чекмарев</cp:lastModifiedBy>
  <cp:revision>28</cp:revision>
  <cp:lastPrinted>2022-12-14T07:20:00Z</cp:lastPrinted>
  <dcterms:created xsi:type="dcterms:W3CDTF">2022-09-26T06:52:00Z</dcterms:created>
  <dcterms:modified xsi:type="dcterms:W3CDTF">2024-12-19T10:18:00Z</dcterms:modified>
</cp:coreProperties>
</file>