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Думы города Пыть-Яха от 30.07.2021 N 415</w:t>
              <w:br/>
              <w:t xml:space="preserve">(ред. от 11.12.2023)</w:t>
              <w:br/>
              <w:t xml:space="preserve">"Об утверждении Положения о муниципальном земельном контроле в границах города Пыть-Яха"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27.08.2024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ДУМА ГОРОДА ПЫТЬ-ЯХА</w:t>
      </w:r>
    </w:p>
    <w:p>
      <w:pPr>
        <w:pStyle w:val="2"/>
        <w:jc w:val="center"/>
      </w:pPr>
      <w:r>
        <w:rPr>
          <w:sz w:val="20"/>
        </w:rPr>
        <w:t xml:space="preserve">ШЕСТОГО СОЗЫВА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30 июля 2021 г. N 415</w:t>
      </w:r>
    </w:p>
    <w:p>
      <w:pPr>
        <w:pStyle w:val="2"/>
        <w:jc w:val="center"/>
      </w:pPr>
      <w:r>
        <w:rPr>
          <w:sz w:val="20"/>
        </w:rPr>
      </w:r>
    </w:p>
    <w:p>
      <w:pPr>
        <w:pStyle w:val="2"/>
        <w:jc w:val="center"/>
      </w:pPr>
      <w:r>
        <w:rPr>
          <w:sz w:val="20"/>
        </w:rPr>
        <w:t xml:space="preserve">ОБ УТВЕРЖДЕНИИ ПОЛОЖЕНИЯ О МУНИЦИПАЛЬНОМ ЗЕМЕЛЬНОМ КОНТРОЛЕ</w:t>
      </w:r>
    </w:p>
    <w:p>
      <w:pPr>
        <w:pStyle w:val="2"/>
        <w:jc w:val="center"/>
      </w:pPr>
      <w:r>
        <w:rPr>
          <w:sz w:val="20"/>
        </w:rPr>
        <w:t xml:space="preserve">В ГРАНИЦАХ ГОРОДА ПЫТЬ-ЯХА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Думы города Пыть-Яха от 15.07.2022 </w:t>
            </w:r>
            <w:hyperlink w:history="0" r:id="rId7" w:tooltip="Решение Думы города Пыть-Яха от 15.07.2022 N 94 &quot;О внесении изменений в решение Думы города Пыть-Яха от 30.07.2021 N 415 &quot;Об утверждении Положения о муниципальном земельном контроле в границах города Пыть-Яха&quot; {КонсультантПлюс}">
              <w:r>
                <w:rPr>
                  <w:sz w:val="20"/>
                  <w:color w:val="0000ff"/>
                </w:rPr>
                <w:t xml:space="preserve">N 94</w:t>
              </w:r>
            </w:hyperlink>
            <w:r>
              <w:rPr>
                <w:sz w:val="20"/>
                <w:color w:val="392c69"/>
              </w:rPr>
              <w:t xml:space="preserve">,</w:t>
            </w:r>
          </w:p>
          <w:p>
            <w:pPr>
              <w:pStyle w:val="0"/>
              <w:jc w:val="center"/>
            </w:pPr>
            <w:r>
              <w:rPr>
                <w:sz w:val="20"/>
                <w:color w:val="392c69"/>
              </w:rPr>
              <w:t xml:space="preserve">от 11.12.2023 </w:t>
            </w:r>
            <w:hyperlink w:history="0" r:id="rId8" w:tooltip="Решение Думы города Пыть-Яха от 11.12.2023 N 225 &quot;О внесении изменений в решение Думы города Пыть-Яха от 30.07.2021 N 415 &quot;Об утверждении Положения о муниципальном земельном контроле в границах города Пыть-Яха&quot; (в ред. от 15.07.2022 N 94)&quot; {КонсультантПлюс}">
              <w:r>
                <w:rPr>
                  <w:sz w:val="20"/>
                  <w:color w:val="0000ff"/>
                </w:rPr>
                <w:t xml:space="preserve">N 225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со </w:t>
      </w:r>
      <w:hyperlink w:history="0" r:id="rId9"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статьей 72</w:t>
        </w:r>
      </w:hyperlink>
      <w:r>
        <w:rPr>
          <w:sz w:val="20"/>
        </w:rPr>
        <w:t xml:space="preserve"> Земельного кодекса Российской Федерации, </w:t>
      </w:r>
      <w:hyperlink w:history="0" r:id="rId10"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3</w:t>
        </w:r>
      </w:hyperlink>
      <w:r>
        <w:rPr>
          <w:sz w:val="20"/>
        </w:rPr>
        <w:t xml:space="preserve"> Федерального закона от 31.07.2020 N 248-ФЗ "О государственном контроле (надзоре) и муниципальном контроле в Российской Федерации", </w:t>
      </w:r>
      <w:hyperlink w:history="0" r:id="rId11"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sz w:val="20"/>
            <w:color w:val="0000ff"/>
          </w:rPr>
          <w:t xml:space="preserve">пунктом 26 части 1 статьи 16</w:t>
        </w:r>
      </w:hyperlink>
      <w:r>
        <w:rPr>
          <w:sz w:val="20"/>
        </w:rPr>
        <w:t xml:space="preserve"> Федерального закона от 06.10.2003 N 131-ФЗ "Об общих принципах организации местного самоуправления в Российской Федерации", руководствуясь </w:t>
      </w:r>
      <w:hyperlink w:history="0" r:id="rId12" w:tooltip="&quot;Устав города Пыть-Яха&quot; (принят решением Думы города Пыть-Яха от 25.06.2005 N 516) (ред. от 08.04.2024) (Зарегистрировано в Управлении по вопросам местного самоуправления Администрации Губернатора Ханты-Мансийского автономного округа - Югры 26.08.2005 N 205) {КонсультантПлюс}">
        <w:r>
          <w:rPr>
            <w:sz w:val="20"/>
            <w:color w:val="0000ff"/>
          </w:rPr>
          <w:t xml:space="preserve">Уставом</w:t>
        </w:r>
      </w:hyperlink>
      <w:r>
        <w:rPr>
          <w:sz w:val="20"/>
        </w:rPr>
        <w:t xml:space="preserve"> города Пыть-Яха, </w:t>
      </w:r>
      <w:hyperlink w:history="0" r:id="rId13" w:tooltip="Распоряжение Губернатора ХМАО - Югры от 23.04.2021 N 113-рг (ред. от 05.10.2022) &quot;О планах-графиках подготовки правовых актов в целях реализации Федерального закона от 31 июля 2020 года N 248-ФЗ &quot;О государственном контроле (надзоре) и муниципальном контроле в Российской Федерации&quot;, а также плане мероприятий (&quot;дорожной карте&quot;) по внедрению в Ханты-Мансийском автономном округе - Югре целевой модели &quot;Осуществление контрольной (надзорной) деятельности в субъектах Российской Федерации&quot; {КонсультантПлюс}">
        <w:r>
          <w:rPr>
            <w:sz w:val="20"/>
            <w:color w:val="0000ff"/>
          </w:rPr>
          <w:t xml:space="preserve">распоряжением</w:t>
        </w:r>
      </w:hyperlink>
      <w:r>
        <w:rPr>
          <w:sz w:val="20"/>
        </w:rPr>
        <w:t xml:space="preserve"> Губернатора Ханты-Мансийского автономного округа - Югры от 23.04.2021 N 113-рг "О планах-графиках подготовки правовых актов в целях реализации Федерального закона от 31.07.2020 N 248-ФЗ "О государственном контроле (надзоре) и муниципальном контроле в Российской Федерации", Дума города решила:</w:t>
      </w:r>
    </w:p>
    <w:p>
      <w:pPr>
        <w:pStyle w:val="0"/>
        <w:spacing w:before="200" w:line-rule="auto"/>
        <w:ind w:firstLine="540"/>
        <w:jc w:val="both"/>
      </w:pPr>
      <w:r>
        <w:rPr>
          <w:sz w:val="20"/>
        </w:rPr>
        <w:t xml:space="preserve">1. Утвердить </w:t>
      </w:r>
      <w:hyperlink w:history="0" w:anchor="P34" w:tooltip="ПОЛОЖЕНИЕ">
        <w:r>
          <w:rPr>
            <w:sz w:val="20"/>
            <w:color w:val="0000ff"/>
          </w:rPr>
          <w:t xml:space="preserve">Положение</w:t>
        </w:r>
      </w:hyperlink>
      <w:r>
        <w:rPr>
          <w:sz w:val="20"/>
        </w:rPr>
        <w:t xml:space="preserve"> о муниципальном земельном контроле в границах города Пыть-Яха, согласно приложению к настоящему решению.</w:t>
      </w:r>
    </w:p>
    <w:p>
      <w:pPr>
        <w:pStyle w:val="0"/>
        <w:spacing w:before="200" w:line-rule="auto"/>
        <w:ind w:firstLine="540"/>
        <w:jc w:val="both"/>
      </w:pPr>
      <w:r>
        <w:rPr>
          <w:sz w:val="20"/>
        </w:rPr>
        <w:t xml:space="preserve">2. Опубликовать настоящее решение в печатном средстве массовой информации "Официальный вестник".</w:t>
      </w:r>
    </w:p>
    <w:p>
      <w:pPr>
        <w:pStyle w:val="0"/>
        <w:spacing w:before="200" w:line-rule="auto"/>
        <w:ind w:firstLine="540"/>
        <w:jc w:val="both"/>
      </w:pPr>
      <w:r>
        <w:rPr>
          <w:sz w:val="20"/>
        </w:rPr>
        <w:t xml:space="preserve">3. Настоящее решение вступает в силу после его официального опубликования и применяется к отношениям, возникающим с 01.09.2021.</w:t>
      </w:r>
    </w:p>
    <w:p>
      <w:pPr>
        <w:pStyle w:val="0"/>
        <w:ind w:firstLine="540"/>
        <w:jc w:val="both"/>
      </w:pPr>
      <w:r>
        <w:rPr>
          <w:sz w:val="20"/>
        </w:rPr>
      </w:r>
    </w:p>
    <w:p>
      <w:pPr>
        <w:pStyle w:val="0"/>
        <w:jc w:val="right"/>
      </w:pPr>
      <w:r>
        <w:rPr>
          <w:sz w:val="20"/>
        </w:rPr>
        <w:t xml:space="preserve">Председатель Думы</w:t>
      </w:r>
    </w:p>
    <w:p>
      <w:pPr>
        <w:pStyle w:val="0"/>
        <w:jc w:val="right"/>
      </w:pPr>
      <w:r>
        <w:rPr>
          <w:sz w:val="20"/>
        </w:rPr>
        <w:t xml:space="preserve">города Пыть-Яха</w:t>
      </w:r>
    </w:p>
    <w:p>
      <w:pPr>
        <w:pStyle w:val="0"/>
        <w:jc w:val="right"/>
      </w:pPr>
      <w:r>
        <w:rPr>
          <w:sz w:val="20"/>
        </w:rPr>
        <w:t xml:space="preserve">М.П.ГЛАДКОВА</w:t>
      </w:r>
    </w:p>
    <w:p>
      <w:pPr>
        <w:pStyle w:val="0"/>
        <w:jc w:val="right"/>
      </w:pPr>
      <w:r>
        <w:rPr>
          <w:sz w:val="20"/>
        </w:rPr>
      </w:r>
    </w:p>
    <w:p>
      <w:pPr>
        <w:pStyle w:val="0"/>
        <w:jc w:val="right"/>
      </w:pPr>
      <w:r>
        <w:rPr>
          <w:sz w:val="20"/>
        </w:rPr>
        <w:t xml:space="preserve">Глава</w:t>
      </w:r>
    </w:p>
    <w:p>
      <w:pPr>
        <w:pStyle w:val="0"/>
        <w:jc w:val="right"/>
      </w:pPr>
      <w:r>
        <w:rPr>
          <w:sz w:val="20"/>
        </w:rPr>
        <w:t xml:space="preserve">города Пыть-Яха</w:t>
      </w:r>
    </w:p>
    <w:p>
      <w:pPr>
        <w:pStyle w:val="0"/>
        <w:jc w:val="right"/>
      </w:pPr>
      <w:r>
        <w:rPr>
          <w:sz w:val="20"/>
        </w:rPr>
        <w:t xml:space="preserve">А.Н.МОРОЗОВ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w:t>
      </w:r>
    </w:p>
    <w:p>
      <w:pPr>
        <w:pStyle w:val="0"/>
        <w:jc w:val="right"/>
      </w:pPr>
      <w:r>
        <w:rPr>
          <w:sz w:val="20"/>
        </w:rPr>
        <w:t xml:space="preserve">к решению Думы города Пыть-Яха</w:t>
      </w:r>
    </w:p>
    <w:p>
      <w:pPr>
        <w:pStyle w:val="0"/>
        <w:jc w:val="right"/>
      </w:pPr>
      <w:r>
        <w:rPr>
          <w:sz w:val="20"/>
        </w:rPr>
        <w:t xml:space="preserve">от 30.07.2021 N 415</w:t>
      </w:r>
    </w:p>
    <w:p>
      <w:pPr>
        <w:pStyle w:val="0"/>
      </w:pPr>
      <w:r>
        <w:rPr>
          <w:sz w:val="20"/>
        </w:rPr>
      </w:r>
    </w:p>
    <w:bookmarkStart w:id="34" w:name="P34"/>
    <w:bookmarkEnd w:id="34"/>
    <w:p>
      <w:pPr>
        <w:pStyle w:val="2"/>
        <w:jc w:val="center"/>
      </w:pPr>
      <w:r>
        <w:rPr>
          <w:sz w:val="20"/>
        </w:rPr>
        <w:t xml:space="preserve">ПОЛОЖЕНИЕ</w:t>
      </w:r>
    </w:p>
    <w:p>
      <w:pPr>
        <w:pStyle w:val="2"/>
        <w:jc w:val="center"/>
      </w:pPr>
      <w:r>
        <w:rPr>
          <w:sz w:val="20"/>
        </w:rPr>
        <w:t xml:space="preserve">О МУНИЦИПАЛЬНОМ ЗЕМЕЛЬНОМ КОНТРОЛЕ В ГРАНИЦАХ ГОРОДА</w:t>
      </w:r>
    </w:p>
    <w:p>
      <w:pPr>
        <w:pStyle w:val="2"/>
        <w:jc w:val="center"/>
      </w:pPr>
      <w:r>
        <w:rPr>
          <w:sz w:val="20"/>
        </w:rPr>
        <w:t xml:space="preserve">ПЫТЬ-ЯХА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Думы города Пыть-Яха от 15.07.2022 </w:t>
            </w:r>
            <w:hyperlink w:history="0" r:id="rId14" w:tooltip="Решение Думы города Пыть-Яха от 15.07.2022 N 94 &quot;О внесении изменений в решение Думы города Пыть-Яха от 30.07.2021 N 415 &quot;Об утверждении Положения о муниципальном земельном контроле в границах города Пыть-Яха&quot; {КонсультантПлюс}">
              <w:r>
                <w:rPr>
                  <w:sz w:val="20"/>
                  <w:color w:val="0000ff"/>
                </w:rPr>
                <w:t xml:space="preserve">N 94</w:t>
              </w:r>
            </w:hyperlink>
            <w:r>
              <w:rPr>
                <w:sz w:val="20"/>
                <w:color w:val="392c69"/>
              </w:rPr>
              <w:t xml:space="preserve">,</w:t>
            </w:r>
          </w:p>
          <w:p>
            <w:pPr>
              <w:pStyle w:val="0"/>
              <w:jc w:val="center"/>
            </w:pPr>
            <w:r>
              <w:rPr>
                <w:sz w:val="20"/>
                <w:color w:val="392c69"/>
              </w:rPr>
              <w:t xml:space="preserve">от 11.12.2023 </w:t>
            </w:r>
            <w:hyperlink w:history="0" r:id="rId15" w:tooltip="Решение Думы города Пыть-Яха от 11.12.2023 N 225 &quot;О внесении изменений в решение Думы города Пыть-Яха от 30.07.2021 N 415 &quot;Об утверждении Положения о муниципальном земельном контроле в границах города Пыть-Яха&quot; (в ред. от 15.07.2022 N 94)&quot; {КонсультантПлюс}">
              <w:r>
                <w:rPr>
                  <w:sz w:val="20"/>
                  <w:color w:val="0000ff"/>
                </w:rPr>
                <w:t xml:space="preserve">N 225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Настоящее Положение о муниципальном земельном контроле в границах города Пыть-Яха (далее - Положение) устанавливает порядок организации и осуществления муниципального земельного контроля (далее - муниципальный контроль) в границах города Пыть-Яха.</w:t>
      </w:r>
    </w:p>
    <w:p>
      <w:pPr>
        <w:pStyle w:val="0"/>
        <w:spacing w:before="200" w:line-rule="auto"/>
        <w:ind w:firstLine="540"/>
        <w:jc w:val="both"/>
      </w:pPr>
      <w:r>
        <w:rPr>
          <w:sz w:val="20"/>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w:t>
      </w:r>
      <w:hyperlink w:history="0" r:id="rId16"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3. Муниципальный контроль осуществляется администрацией города Пыть-Яха в лице отдела муниципального контроля администрации города Пыть-Яха (далее - контрольный орган).</w:t>
      </w:r>
    </w:p>
    <w:p>
      <w:pPr>
        <w:pStyle w:val="0"/>
        <w:spacing w:before="200" w:line-rule="auto"/>
        <w:ind w:firstLine="540"/>
        <w:jc w:val="both"/>
      </w:pPr>
      <w:r>
        <w:rPr>
          <w:sz w:val="20"/>
        </w:rPr>
        <w:t xml:space="preserve">4. Объектами муниципального контроля являются:</w:t>
      </w:r>
    </w:p>
    <w:p>
      <w:pPr>
        <w:pStyle w:val="0"/>
        <w:spacing w:before="200" w:line-rule="auto"/>
        <w:ind w:firstLine="540"/>
        <w:jc w:val="both"/>
      </w:pPr>
      <w:r>
        <w:rPr>
          <w:sz w:val="20"/>
        </w:rPr>
        <w:t xml:space="preserve">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pPr>
        <w:pStyle w:val="0"/>
        <w:spacing w:before="200" w:line-rule="auto"/>
        <w:ind w:firstLine="540"/>
        <w:jc w:val="both"/>
      </w:pPr>
      <w:r>
        <w:rPr>
          <w:sz w:val="20"/>
        </w:rPr>
        <w:t xml:space="preserve">2)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pPr>
        <w:pStyle w:val="0"/>
        <w:spacing w:before="200" w:line-rule="auto"/>
        <w:ind w:firstLine="540"/>
        <w:jc w:val="both"/>
      </w:pPr>
      <w:r>
        <w:rPr>
          <w:sz w:val="20"/>
        </w:rPr>
        <w:t xml:space="preserve">5.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а также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pPr>
        <w:pStyle w:val="0"/>
        <w:spacing w:before="200" w:line-rule="auto"/>
        <w:ind w:firstLine="540"/>
        <w:jc w:val="both"/>
      </w:pPr>
      <w:r>
        <w:rPr>
          <w:sz w:val="20"/>
        </w:rPr>
        <w:t xml:space="preserve">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pPr>
        <w:pStyle w:val="0"/>
        <w:spacing w:before="200" w:line-rule="auto"/>
        <w:ind w:firstLine="540"/>
        <w:jc w:val="both"/>
      </w:pPr>
      <w:r>
        <w:rPr>
          <w:sz w:val="20"/>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spacing w:before="200" w:line-rule="auto"/>
        <w:ind w:firstLine="540"/>
        <w:jc w:val="both"/>
      </w:pPr>
      <w:r>
        <w:rPr>
          <w:sz w:val="20"/>
        </w:rPr>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pPr>
        <w:pStyle w:val="0"/>
        <w:spacing w:before="200" w:line-rule="auto"/>
        <w:ind w:firstLine="540"/>
        <w:jc w:val="both"/>
      </w:pPr>
      <w:r>
        <w:rPr>
          <w:sz w:val="20"/>
        </w:rPr>
        <w:t xml:space="preserve">6. Под контролируемыми лицами при осуществлении муниципального контроля понимаются граждане и организации, указанные в </w:t>
      </w:r>
      <w:hyperlink w:history="0" r:id="rId17"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 31</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pPr>
        <w:pStyle w:val="0"/>
        <w:spacing w:before="200" w:line-rule="auto"/>
        <w:ind w:firstLine="540"/>
        <w:jc w:val="both"/>
      </w:pPr>
      <w:r>
        <w:rPr>
          <w:sz w:val="20"/>
        </w:rPr>
        <w:t xml:space="preserve">7. Предметом муниципального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pPr>
        <w:pStyle w:val="0"/>
        <w:spacing w:before="200" w:line-rule="auto"/>
        <w:ind w:firstLine="540"/>
        <w:jc w:val="both"/>
      </w:pPr>
      <w:r>
        <w:rPr>
          <w:sz w:val="20"/>
        </w:rPr>
        <w:t xml:space="preserve">8. Муниципальный контроль осуществляется посредством проведения:</w:t>
      </w:r>
    </w:p>
    <w:p>
      <w:pPr>
        <w:pStyle w:val="0"/>
        <w:spacing w:before="200" w:line-rule="auto"/>
        <w:ind w:firstLine="540"/>
        <w:jc w:val="both"/>
      </w:pPr>
      <w:r>
        <w:rPr>
          <w:sz w:val="20"/>
        </w:rPr>
        <w:t xml:space="preserve">1) профилактических мероприятий;</w:t>
      </w:r>
    </w:p>
    <w:p>
      <w:pPr>
        <w:pStyle w:val="0"/>
        <w:spacing w:before="200" w:line-rule="auto"/>
        <w:ind w:firstLine="540"/>
        <w:jc w:val="both"/>
      </w:pPr>
      <w:r>
        <w:rPr>
          <w:sz w:val="20"/>
        </w:rPr>
        <w:t xml:space="preserve">2) контрольных мероприятий без взаимодействия с контролируемыми лицами;</w:t>
      </w:r>
    </w:p>
    <w:p>
      <w:pPr>
        <w:pStyle w:val="0"/>
        <w:spacing w:before="200" w:line-rule="auto"/>
        <w:ind w:firstLine="540"/>
        <w:jc w:val="both"/>
      </w:pPr>
      <w:r>
        <w:rPr>
          <w:sz w:val="20"/>
        </w:rPr>
        <w:t xml:space="preserve">3) контрольных мероприятий со взаимодействием с контролируемыми лицами.</w:t>
      </w:r>
    </w:p>
    <w:p>
      <w:pPr>
        <w:pStyle w:val="0"/>
        <w:spacing w:before="200" w:line-rule="auto"/>
        <w:ind w:firstLine="540"/>
        <w:jc w:val="both"/>
      </w:pPr>
      <w:r>
        <w:rPr>
          <w:sz w:val="20"/>
        </w:rPr>
        <w:t xml:space="preserve">9.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органа;</w:t>
      </w:r>
    </w:p>
    <w:p>
      <w:pPr>
        <w:pStyle w:val="0"/>
        <w:spacing w:before="200" w:line-rule="auto"/>
        <w:ind w:firstLine="540"/>
        <w:jc w:val="both"/>
      </w:pPr>
      <w:r>
        <w:rPr>
          <w:sz w:val="20"/>
        </w:rPr>
        <w:t xml:space="preserve">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pPr>
        <w:pStyle w:val="0"/>
        <w:spacing w:before="200" w:line-rule="auto"/>
        <w:ind w:firstLine="540"/>
        <w:jc w:val="both"/>
      </w:pPr>
      <w:r>
        <w:rPr>
          <w:sz w:val="20"/>
        </w:rPr>
        <w:t xml:space="preserve">10. Принятие решений о проведении контрольных мероприятий осуществляет руководитель (заместитель руководителя) контрольного органа.</w:t>
      </w:r>
    </w:p>
    <w:p>
      <w:pPr>
        <w:pStyle w:val="0"/>
        <w:ind w:firstLine="540"/>
        <w:jc w:val="both"/>
      </w:pPr>
      <w:r>
        <w:rPr>
          <w:sz w:val="20"/>
        </w:rPr>
      </w:r>
    </w:p>
    <w:p>
      <w:pPr>
        <w:pStyle w:val="2"/>
        <w:outlineLvl w:val="1"/>
        <w:jc w:val="center"/>
      </w:pPr>
      <w:r>
        <w:rPr>
          <w:sz w:val="20"/>
        </w:rPr>
        <w:t xml:space="preserve">II. Управление рисками причинения вреда (ущерба) охраняемым</w:t>
      </w:r>
    </w:p>
    <w:p>
      <w:pPr>
        <w:pStyle w:val="2"/>
        <w:jc w:val="center"/>
      </w:pPr>
      <w:r>
        <w:rPr>
          <w:sz w:val="20"/>
        </w:rPr>
        <w:t xml:space="preserve">законом ценностям при осуществлении муниципального контроля</w:t>
      </w:r>
    </w:p>
    <w:p>
      <w:pPr>
        <w:pStyle w:val="0"/>
        <w:ind w:firstLine="540"/>
        <w:jc w:val="both"/>
      </w:pPr>
      <w:r>
        <w:rPr>
          <w:sz w:val="20"/>
        </w:rPr>
      </w:r>
    </w:p>
    <w:p>
      <w:pPr>
        <w:pStyle w:val="0"/>
        <w:ind w:firstLine="540"/>
        <w:jc w:val="both"/>
      </w:pPr>
      <w:r>
        <w:rPr>
          <w:sz w:val="20"/>
        </w:rPr>
        <w:t xml:space="preserve">11. Муниципальный контроль осуществляется на основе управления рисками причинения вреда (ущерба), определяющего выбор профилактических или контрольных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12.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категориям среднего, умеренного и низкого риска (далее - категории риска).</w:t>
      </w:r>
    </w:p>
    <w:p>
      <w:pPr>
        <w:pStyle w:val="0"/>
        <w:spacing w:before="200" w:line-rule="auto"/>
        <w:ind w:firstLine="540"/>
        <w:jc w:val="both"/>
      </w:pPr>
      <w:r>
        <w:rPr>
          <w:sz w:val="20"/>
        </w:rPr>
        <w:t xml:space="preserve">13. </w:t>
      </w:r>
      <w:hyperlink w:history="0" w:anchor="P340" w:tooltip="КРИТЕРИИ">
        <w:r>
          <w:rPr>
            <w:sz w:val="20"/>
            <w:color w:val="0000ff"/>
          </w:rPr>
          <w:t xml:space="preserve">Критерии</w:t>
        </w:r>
      </w:hyperlink>
      <w:r>
        <w:rPr>
          <w:sz w:val="20"/>
        </w:rPr>
        <w:t xml:space="preserve"> отнесения объектов контроля к категориям риска в рамках осуществления муниципального контроля указаны в приложении к настоящему Положению.</w:t>
      </w:r>
    </w:p>
    <w:p>
      <w:pPr>
        <w:pStyle w:val="0"/>
        <w:spacing w:before="200" w:line-rule="auto"/>
        <w:ind w:firstLine="540"/>
        <w:jc w:val="both"/>
      </w:pPr>
      <w:r>
        <w:rPr>
          <w:sz w:val="20"/>
        </w:rPr>
        <w:t xml:space="preserve">14.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об объектах контроля.</w:t>
      </w:r>
    </w:p>
    <w:p>
      <w:pPr>
        <w:pStyle w:val="0"/>
        <w:spacing w:before="200" w:line-rule="auto"/>
        <w:ind w:firstLine="540"/>
        <w:jc w:val="both"/>
      </w:pPr>
      <w:r>
        <w:rPr>
          <w:sz w:val="20"/>
        </w:rPr>
        <w:t xml:space="preserve">15. Отнесение объекта контроля к одной из категорий риска осуществляется контрольным органом на основе сопоставления его характеристик в соответствии с </w:t>
      </w:r>
      <w:hyperlink w:history="0" w:anchor="P340" w:tooltip="КРИТЕРИИ">
        <w:r>
          <w:rPr>
            <w:sz w:val="20"/>
            <w:color w:val="0000ff"/>
          </w:rPr>
          <w:t xml:space="preserve">приложением</w:t>
        </w:r>
      </w:hyperlink>
      <w:r>
        <w:rPr>
          <w:sz w:val="20"/>
        </w:rPr>
        <w:t xml:space="preserve"> к настоящему Положению.</w:t>
      </w:r>
    </w:p>
    <w:p>
      <w:pPr>
        <w:pStyle w:val="0"/>
        <w:spacing w:before="200" w:line-rule="auto"/>
        <w:ind w:firstLine="540"/>
        <w:jc w:val="both"/>
      </w:pPr>
      <w:r>
        <w:rPr>
          <w:sz w:val="20"/>
        </w:rPr>
        <w:t xml:space="preserve">16.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17.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w:t>
      </w:r>
    </w:p>
    <w:p>
      <w:pPr>
        <w:pStyle w:val="0"/>
        <w:spacing w:before="200" w:line-rule="auto"/>
        <w:ind w:firstLine="540"/>
        <w:jc w:val="both"/>
      </w:pPr>
      <w:r>
        <w:rPr>
          <w:sz w:val="20"/>
        </w:rPr>
        <w:t xml:space="preserve">18. В случае, если объект контроля не отнесен контрольным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19.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настоящим положением соразмерно рискам причинения вреда (ущерба).</w:t>
      </w:r>
    </w:p>
    <w:p>
      <w:pPr>
        <w:pStyle w:val="0"/>
        <w:spacing w:before="200" w:line-rule="auto"/>
        <w:ind w:firstLine="540"/>
        <w:jc w:val="both"/>
      </w:pPr>
      <w:r>
        <w:rPr>
          <w:sz w:val="20"/>
        </w:rPr>
        <w:t xml:space="preserve">20. Отнесение объектов контроля к категориям риска осуществляется приказом руководителя (заместителя руководителя) контрольного органа, которые в соответствии с должностной инструкцией уполномочены на принятие решения об отнесении объектов контроля к соответствующим категориям риска.</w:t>
      </w:r>
    </w:p>
    <w:p>
      <w:pPr>
        <w:pStyle w:val="0"/>
        <w:spacing w:before="200" w:line-rule="auto"/>
        <w:ind w:firstLine="540"/>
        <w:jc w:val="both"/>
      </w:pPr>
      <w:r>
        <w:rPr>
          <w:sz w:val="20"/>
        </w:rPr>
        <w:t xml:space="preserve">21. Контролируемые лица вправе подать в контрольный орган заявление об изменении присвоенной ранее категории риска.</w:t>
      </w:r>
    </w:p>
    <w:p>
      <w:pPr>
        <w:pStyle w:val="0"/>
        <w:spacing w:before="200" w:line-rule="auto"/>
        <w:ind w:firstLine="540"/>
        <w:jc w:val="both"/>
      </w:pPr>
      <w:r>
        <w:rPr>
          <w:sz w:val="20"/>
        </w:rPr>
        <w:t xml:space="preserve">22.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pPr>
        <w:pStyle w:val="0"/>
        <w:spacing w:before="200" w:line-rule="auto"/>
        <w:ind w:firstLine="540"/>
        <w:jc w:val="both"/>
      </w:pPr>
      <w:r>
        <w:rPr>
          <w:sz w:val="20"/>
        </w:rPr>
        <w:t xml:space="preserve">23. Отнесение объектов контроля к определенной категории риска, в том числе изменение ранее присвоенной объекту контроля категории риска, осуществляется соответствующим приказом руководителя (заместителя руководителя) контрольного органа в соответствии с критериями отнесения объектов контроля к категориям риска согласно </w:t>
      </w:r>
      <w:hyperlink w:history="0" w:anchor="P340" w:tooltip="КРИТЕРИИ">
        <w:r>
          <w:rPr>
            <w:sz w:val="20"/>
            <w:color w:val="0000ff"/>
          </w:rPr>
          <w:t xml:space="preserve">приложению</w:t>
        </w:r>
      </w:hyperlink>
      <w:r>
        <w:rPr>
          <w:sz w:val="20"/>
        </w:rPr>
        <w:t xml:space="preserve"> к настоящему Положению.</w:t>
      </w:r>
    </w:p>
    <w:p>
      <w:pPr>
        <w:pStyle w:val="0"/>
        <w:ind w:firstLine="540"/>
        <w:jc w:val="both"/>
      </w:pPr>
      <w:r>
        <w:rPr>
          <w:sz w:val="20"/>
        </w:rPr>
      </w:r>
    </w:p>
    <w:p>
      <w:pPr>
        <w:pStyle w:val="2"/>
        <w:outlineLvl w:val="1"/>
        <w:jc w:val="center"/>
      </w:pPr>
      <w:r>
        <w:rPr>
          <w:sz w:val="20"/>
        </w:rPr>
        <w:t xml:space="preserve">III. Профилактика рисков причинения вреда (ущерба)</w:t>
      </w:r>
    </w:p>
    <w:p>
      <w:pPr>
        <w:pStyle w:val="2"/>
        <w:jc w:val="center"/>
      </w:pPr>
      <w:r>
        <w:rPr>
          <w:sz w:val="20"/>
        </w:rPr>
        <w:t xml:space="preserve">охраняемым законом ценностям</w:t>
      </w:r>
    </w:p>
    <w:p>
      <w:pPr>
        <w:pStyle w:val="0"/>
        <w:jc w:val="center"/>
      </w:pPr>
      <w:r>
        <w:rPr>
          <w:sz w:val="20"/>
        </w:rPr>
      </w:r>
    </w:p>
    <w:p>
      <w:pPr>
        <w:pStyle w:val="0"/>
        <w:ind w:firstLine="540"/>
        <w:jc w:val="both"/>
      </w:pPr>
      <w:r>
        <w:rPr>
          <w:sz w:val="20"/>
        </w:rPr>
        <w:t xml:space="preserve">24.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25.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приказом руководителя (заместителя руководителя) контрольного органа, прошедшей общественное обсуждение и размещенной на официальном сайте контрольного органа в сети "Интернет".</w:t>
      </w:r>
    </w:p>
    <w:p>
      <w:pPr>
        <w:pStyle w:val="0"/>
        <w:spacing w:before="200" w:line-rule="auto"/>
        <w:ind w:firstLine="540"/>
        <w:jc w:val="both"/>
      </w:pPr>
      <w:r>
        <w:rPr>
          <w:sz w:val="20"/>
        </w:rPr>
        <w:t xml:space="preserve">26. Программа профилактики рисков причинения вреда утверждается ежегодно.</w:t>
      </w:r>
    </w:p>
    <w:p>
      <w:pPr>
        <w:pStyle w:val="0"/>
        <w:spacing w:before="200" w:line-rule="auto"/>
        <w:ind w:firstLine="540"/>
        <w:jc w:val="both"/>
      </w:pPr>
      <w:r>
        <w:rPr>
          <w:sz w:val="20"/>
        </w:rPr>
        <w:t xml:space="preserve">27.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w:history="0" r:id="rId18"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spacing w:before="200" w:line-rule="auto"/>
        <w:ind w:firstLine="540"/>
        <w:jc w:val="both"/>
      </w:pPr>
      <w:r>
        <w:rPr>
          <w:sz w:val="20"/>
        </w:rPr>
        <w:t xml:space="preserve">28.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pPr>
        <w:pStyle w:val="0"/>
        <w:spacing w:before="200" w:line-rule="auto"/>
        <w:ind w:firstLine="540"/>
        <w:jc w:val="both"/>
      </w:pPr>
      <w:r>
        <w:rPr>
          <w:sz w:val="20"/>
        </w:rPr>
        <w:t xml:space="preserve">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pPr>
        <w:pStyle w:val="0"/>
        <w:spacing w:before="200" w:line-rule="auto"/>
        <w:ind w:firstLine="540"/>
        <w:jc w:val="both"/>
      </w:pPr>
      <w:r>
        <w:rPr>
          <w:sz w:val="20"/>
        </w:rPr>
        <w:t xml:space="preserve">30. Контрольный орган может проводить профилактические мероприятия, не предусмотренные программой профилактики рисков причинения вреда.</w:t>
      </w:r>
    </w:p>
    <w:p>
      <w:pPr>
        <w:pStyle w:val="0"/>
        <w:spacing w:before="200" w:line-rule="auto"/>
        <w:ind w:firstLine="540"/>
        <w:jc w:val="both"/>
      </w:pPr>
      <w:r>
        <w:rPr>
          <w:sz w:val="20"/>
        </w:rPr>
        <w:t xml:space="preserve">31. Контрольный орган в рамках осуществления муниципального контроля проводит следующие профилактические мероприятия:</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объявление предостережения;</w:t>
      </w:r>
    </w:p>
    <w:p>
      <w:pPr>
        <w:pStyle w:val="0"/>
        <w:spacing w:before="200" w:line-rule="auto"/>
        <w:ind w:firstLine="540"/>
        <w:jc w:val="both"/>
      </w:pPr>
      <w:r>
        <w:rPr>
          <w:sz w:val="20"/>
        </w:rPr>
        <w:t xml:space="preserve">3) консультирование;</w:t>
      </w:r>
    </w:p>
    <w:p>
      <w:pPr>
        <w:pStyle w:val="0"/>
        <w:spacing w:before="200" w:line-rule="auto"/>
        <w:ind w:firstLine="540"/>
        <w:jc w:val="both"/>
      </w:pPr>
      <w:r>
        <w:rPr>
          <w:sz w:val="20"/>
        </w:rPr>
        <w:t xml:space="preserve">4) профилактический визит.</w:t>
      </w:r>
    </w:p>
    <w:p>
      <w:pPr>
        <w:pStyle w:val="0"/>
        <w:spacing w:before="200" w:line-rule="auto"/>
        <w:ind w:firstLine="540"/>
        <w:jc w:val="both"/>
      </w:pPr>
      <w:r>
        <w:rPr>
          <w:sz w:val="20"/>
        </w:rPr>
        <w:t xml:space="preserve">32. Информирование осуществляется должностными лицами контрольного органа посредством размещения сведений, предусмотренных </w:t>
      </w:r>
      <w:hyperlink w:history="0" r:id="rId19"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46</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на официальном сайте контрольного органа в сети "Интернет", в средствах массовой информации и в иных формах.</w:t>
      </w:r>
    </w:p>
    <w:p>
      <w:pPr>
        <w:pStyle w:val="0"/>
        <w:spacing w:before="200" w:line-rule="auto"/>
        <w:ind w:firstLine="540"/>
        <w:jc w:val="both"/>
      </w:pPr>
      <w:r>
        <w:rPr>
          <w:sz w:val="20"/>
        </w:rPr>
        <w:t xml:space="preserve">Размещенные сведения поддерживаются в актуальном состоянии и обновляются в срок не позднее 5 рабочих дней с момента их изменения.</w:t>
      </w:r>
    </w:p>
    <w:p>
      <w:pPr>
        <w:pStyle w:val="0"/>
        <w:spacing w:before="200" w:line-rule="auto"/>
        <w:ind w:firstLine="540"/>
        <w:jc w:val="both"/>
      </w:pPr>
      <w:r>
        <w:rPr>
          <w:sz w:val="20"/>
        </w:rPr>
        <w:t xml:space="preserve">Должностные лица, ответственные за размещение информации, предусмотренной настоящим Положением, определяются приказом контрольного органа.</w:t>
      </w:r>
    </w:p>
    <w:p>
      <w:pPr>
        <w:pStyle w:val="0"/>
        <w:spacing w:before="200" w:line-rule="auto"/>
        <w:ind w:firstLine="540"/>
        <w:jc w:val="both"/>
      </w:pPr>
      <w:r>
        <w:rPr>
          <w:sz w:val="20"/>
        </w:rPr>
        <w:t xml:space="preserve">33. 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также контрольный орган предлагает контролируемому лицу принять меры по обеспечению соблюдения обязательных требований.</w:t>
      </w:r>
    </w:p>
    <w:p>
      <w:pPr>
        <w:pStyle w:val="0"/>
        <w:spacing w:before="200" w:line-rule="auto"/>
        <w:ind w:firstLine="540"/>
        <w:jc w:val="both"/>
      </w:pPr>
      <w:r>
        <w:rPr>
          <w:sz w:val="20"/>
        </w:rPr>
        <w:t xml:space="preserve">Инспектор регистрирует предостережение в журнале учета объявленных им предостережений с присвоением регистрационного номера.</w:t>
      </w:r>
    </w:p>
    <w:p>
      <w:pPr>
        <w:pStyle w:val="0"/>
        <w:spacing w:before="200" w:line-rule="auto"/>
        <w:ind w:firstLine="540"/>
        <w:jc w:val="both"/>
      </w:pPr>
      <w:r>
        <w:rPr>
          <w:sz w:val="20"/>
        </w:rPr>
        <w:t xml:space="preserve">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pPr>
        <w:pStyle w:val="0"/>
        <w:spacing w:before="200" w:line-rule="auto"/>
        <w:ind w:firstLine="540"/>
        <w:jc w:val="both"/>
      </w:pPr>
      <w:r>
        <w:rPr>
          <w:sz w:val="20"/>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pPr>
        <w:pStyle w:val="0"/>
        <w:spacing w:before="200" w:line-rule="auto"/>
        <w:ind w:firstLine="540"/>
        <w:jc w:val="both"/>
      </w:pPr>
      <w:r>
        <w:rPr>
          <w:sz w:val="20"/>
        </w:rPr>
        <w:t xml:space="preserve">Возражения составляются контролируемым лицом в произвольной форме, при этом должны содержать следующую информацию:</w:t>
      </w:r>
    </w:p>
    <w:p>
      <w:pPr>
        <w:pStyle w:val="0"/>
        <w:spacing w:before="200" w:line-rule="auto"/>
        <w:ind w:firstLine="540"/>
        <w:jc w:val="both"/>
      </w:pPr>
      <w:r>
        <w:rPr>
          <w:sz w:val="20"/>
        </w:rPr>
        <w:t xml:space="preserve">а) наименование контролируемого лица;</w:t>
      </w:r>
    </w:p>
    <w:p>
      <w:pPr>
        <w:pStyle w:val="0"/>
        <w:spacing w:before="200" w:line-rule="auto"/>
        <w:ind w:firstLine="540"/>
        <w:jc w:val="both"/>
      </w:pPr>
      <w:r>
        <w:rPr>
          <w:sz w:val="20"/>
        </w:rPr>
        <w:t xml:space="preserve">б) сведения об объекте контроля;</w:t>
      </w:r>
    </w:p>
    <w:p>
      <w:pPr>
        <w:pStyle w:val="0"/>
        <w:spacing w:before="200" w:line-rule="auto"/>
        <w:ind w:firstLine="540"/>
        <w:jc w:val="both"/>
      </w:pPr>
      <w:r>
        <w:rPr>
          <w:sz w:val="20"/>
        </w:rPr>
        <w:t xml:space="preserve">в) дату и номер предостережения, направленного в адрес контролируемого лица;</w:t>
      </w:r>
    </w:p>
    <w:p>
      <w:pPr>
        <w:pStyle w:val="0"/>
        <w:spacing w:before="200" w:line-rule="auto"/>
        <w:ind w:firstLine="540"/>
        <w:jc w:val="both"/>
      </w:pPr>
      <w:r>
        <w:rPr>
          <w:sz w:val="20"/>
        </w:rPr>
        <w:t xml:space="preserve">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pPr>
        <w:pStyle w:val="0"/>
        <w:spacing w:before="200" w:line-rule="auto"/>
        <w:ind w:firstLine="540"/>
        <w:jc w:val="both"/>
      </w:pPr>
      <w:r>
        <w:rPr>
          <w:sz w:val="20"/>
        </w:rPr>
        <w:t xml:space="preserve">д) желаемый способ получения ответа по итогам рассмотрения возражения;</w:t>
      </w:r>
    </w:p>
    <w:p>
      <w:pPr>
        <w:pStyle w:val="0"/>
        <w:spacing w:before="200" w:line-rule="auto"/>
        <w:ind w:firstLine="540"/>
        <w:jc w:val="both"/>
      </w:pPr>
      <w:r>
        <w:rPr>
          <w:sz w:val="20"/>
        </w:rPr>
        <w:t xml:space="preserve">е) фамилию, имя, отчество (при наличии) направившего возражение;</w:t>
      </w:r>
    </w:p>
    <w:p>
      <w:pPr>
        <w:pStyle w:val="0"/>
        <w:spacing w:before="200" w:line-rule="auto"/>
        <w:ind w:firstLine="540"/>
        <w:jc w:val="both"/>
      </w:pPr>
      <w:r>
        <w:rPr>
          <w:sz w:val="20"/>
        </w:rPr>
        <w:t xml:space="preserve">ж) дату направления возражения.</w:t>
      </w:r>
    </w:p>
    <w:p>
      <w:pPr>
        <w:pStyle w:val="0"/>
        <w:spacing w:before="200" w:line-rule="auto"/>
        <w:ind w:firstLine="540"/>
        <w:jc w:val="both"/>
      </w:pPr>
      <w:r>
        <w:rPr>
          <w:sz w:val="20"/>
        </w:rPr>
        <w:t xml:space="preserve">Контролирующий орган рассматривает возражение, по итогам рассмотрения направляет контролируемому лицу, в течение 20 рабочих дней со дня получения возражения, ответ.</w:t>
      </w:r>
    </w:p>
    <w:p>
      <w:pPr>
        <w:pStyle w:val="0"/>
        <w:spacing w:before="200" w:line-rule="auto"/>
        <w:ind w:firstLine="540"/>
        <w:jc w:val="both"/>
      </w:pPr>
      <w:r>
        <w:rPr>
          <w:sz w:val="20"/>
        </w:rPr>
        <w:t xml:space="preserve">34.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pPr>
        <w:pStyle w:val="0"/>
        <w:spacing w:before="200" w:line-rule="auto"/>
        <w:ind w:firstLine="540"/>
        <w:jc w:val="both"/>
      </w:pPr>
      <w:r>
        <w:rPr>
          <w:sz w:val="20"/>
        </w:rPr>
        <w:t xml:space="preserve">Консультирование осуществляется без взимания платы.</w:t>
      </w:r>
    </w:p>
    <w:p>
      <w:pPr>
        <w:pStyle w:val="0"/>
        <w:spacing w:before="200" w:line-rule="auto"/>
        <w:ind w:firstLine="540"/>
        <w:jc w:val="both"/>
      </w:pPr>
      <w:r>
        <w:rPr>
          <w:sz w:val="20"/>
        </w:rPr>
        <w:t xml:space="preserve">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pPr>
        <w:pStyle w:val="0"/>
        <w:spacing w:before="200" w:line-rule="auto"/>
        <w:ind w:firstLine="540"/>
        <w:jc w:val="both"/>
      </w:pPr>
      <w:r>
        <w:rPr>
          <w:sz w:val="20"/>
        </w:rPr>
        <w:t xml:space="preserve">Время консультирования не должно превышать 15 минут.</w:t>
      </w:r>
    </w:p>
    <w:p>
      <w:pPr>
        <w:pStyle w:val="0"/>
        <w:spacing w:before="200" w:line-rule="auto"/>
        <w:ind w:firstLine="540"/>
        <w:jc w:val="both"/>
      </w:pPr>
      <w:r>
        <w:rPr>
          <w:sz w:val="20"/>
        </w:rPr>
        <w:t xml:space="preserve">Личный прием граждан проводится руководителем или заместителем руководителя контрольного органа.</w:t>
      </w:r>
    </w:p>
    <w:p>
      <w:pPr>
        <w:pStyle w:val="0"/>
        <w:spacing w:before="200" w:line-rule="auto"/>
        <w:ind w:firstLine="540"/>
        <w:jc w:val="both"/>
      </w:pPr>
      <w:r>
        <w:rPr>
          <w:sz w:val="20"/>
        </w:rPr>
        <w:t xml:space="preserve">Информация о месте приема, а также об установленных для приема днях и часах размещается на официальном сайте в сети "Интернет".</w:t>
      </w:r>
    </w:p>
    <w:p>
      <w:pPr>
        <w:pStyle w:val="0"/>
        <w:spacing w:before="200" w:line-rule="auto"/>
        <w:ind w:firstLine="540"/>
        <w:jc w:val="both"/>
      </w:pPr>
      <w:r>
        <w:rPr>
          <w:sz w:val="20"/>
        </w:rPr>
        <w:t xml:space="preserve">Консультирование осуществляется по следующим вопросам:</w:t>
      </w:r>
    </w:p>
    <w:p>
      <w:pPr>
        <w:pStyle w:val="0"/>
        <w:spacing w:before="200" w:line-rule="auto"/>
        <w:ind w:firstLine="540"/>
        <w:jc w:val="both"/>
      </w:pPr>
      <w:r>
        <w:rPr>
          <w:sz w:val="20"/>
        </w:rPr>
        <w:t xml:space="preserve">1) организация и осуществление муниципального контроля;</w:t>
      </w:r>
    </w:p>
    <w:p>
      <w:pPr>
        <w:pStyle w:val="0"/>
        <w:spacing w:before="200" w:line-rule="auto"/>
        <w:ind w:firstLine="540"/>
        <w:jc w:val="both"/>
      </w:pPr>
      <w:r>
        <w:rPr>
          <w:sz w:val="20"/>
        </w:rPr>
        <w:t xml:space="preserve">2) порядок осуществления профилактических, контрольных мероприятий, установленных настоящим Положением.</w:t>
      </w:r>
    </w:p>
    <w:p>
      <w:pPr>
        <w:pStyle w:val="0"/>
        <w:jc w:val="both"/>
      </w:pPr>
      <w:r>
        <w:rPr>
          <w:sz w:val="20"/>
        </w:rPr>
        <w:t xml:space="preserve">(в ред. </w:t>
      </w:r>
      <w:hyperlink w:history="0" r:id="rId20" w:tooltip="Решение Думы города Пыть-Яха от 15.07.2022 N 94 &quot;О внесении изменений в решение Думы города Пыть-Яха от 30.07.2021 N 415 &quot;Об утверждении Положения о муниципальном земельном контроле в границах города Пыть-Яха&quot; {КонсультантПлюс}">
        <w:r>
          <w:rPr>
            <w:sz w:val="20"/>
            <w:color w:val="0000ff"/>
          </w:rPr>
          <w:t xml:space="preserve">решения</w:t>
        </w:r>
      </w:hyperlink>
      <w:r>
        <w:rPr>
          <w:sz w:val="20"/>
        </w:rPr>
        <w:t xml:space="preserve"> Думы города Пыть-Яха от 15.07.2022 N 94)</w:t>
      </w:r>
    </w:p>
    <w:p>
      <w:pPr>
        <w:pStyle w:val="0"/>
        <w:spacing w:before="200" w:line-rule="auto"/>
        <w:ind w:firstLine="540"/>
        <w:jc w:val="both"/>
      </w:pPr>
      <w:r>
        <w:rPr>
          <w:sz w:val="20"/>
        </w:rPr>
        <w:t xml:space="preserve">Консультирование в письменной форме осуществляется инспектором в сроки, установленные Федеральным </w:t>
      </w:r>
      <w:hyperlink w:history="0" r:id="rId21"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 в следующих случаях:</w:t>
      </w:r>
    </w:p>
    <w:p>
      <w:pPr>
        <w:pStyle w:val="0"/>
        <w:spacing w:before="200" w:line-rule="auto"/>
        <w:ind w:firstLine="540"/>
        <w:jc w:val="both"/>
      </w:pPr>
      <w:r>
        <w:rPr>
          <w:sz w:val="20"/>
        </w:rPr>
        <w:t xml:space="preserve">1) контролируемым лицом представлен письменный запрос о предоставлении письменного ответа по вопросам консультирования;</w:t>
      </w:r>
    </w:p>
    <w:p>
      <w:pPr>
        <w:pStyle w:val="0"/>
        <w:spacing w:before="200" w:line-rule="auto"/>
        <w:ind w:firstLine="540"/>
        <w:jc w:val="both"/>
      </w:pPr>
      <w:r>
        <w:rPr>
          <w:sz w:val="20"/>
        </w:rPr>
        <w:t xml:space="preserve">2) за время консультирования предоставить ответ на поставленные вопросы невозможно;</w:t>
      </w:r>
    </w:p>
    <w:p>
      <w:pPr>
        <w:pStyle w:val="0"/>
        <w:spacing w:before="200" w:line-rule="auto"/>
        <w:ind w:firstLine="540"/>
        <w:jc w:val="both"/>
      </w:pPr>
      <w:r>
        <w:rPr>
          <w:sz w:val="20"/>
        </w:rPr>
        <w:t xml:space="preserve">3) ответ на поставленные вопросы требует дополнительного запроса сведений от иных органов власти или лиц.</w:t>
      </w:r>
    </w:p>
    <w:p>
      <w:pPr>
        <w:pStyle w:val="0"/>
        <w:spacing w:before="200" w:line-rule="auto"/>
        <w:ind w:firstLine="540"/>
        <w:jc w:val="both"/>
      </w:pPr>
      <w:r>
        <w:rPr>
          <w:sz w:val="20"/>
        </w:rPr>
        <w:t xml:space="preserve">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pPr>
        <w:pStyle w:val="0"/>
        <w:spacing w:before="200" w:line-rule="auto"/>
        <w:ind w:firstLine="540"/>
        <w:jc w:val="both"/>
      </w:pPr>
      <w:r>
        <w:rPr>
          <w:sz w:val="20"/>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pPr>
        <w:pStyle w:val="0"/>
        <w:spacing w:before="200" w:line-rule="auto"/>
        <w:ind w:firstLine="540"/>
        <w:jc w:val="both"/>
      </w:pPr>
      <w:r>
        <w:rPr>
          <w:sz w:val="20"/>
        </w:rPr>
        <w:t xml:space="preserve">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pPr>
        <w:pStyle w:val="0"/>
        <w:spacing w:before="200" w:line-rule="auto"/>
        <w:ind w:firstLine="540"/>
        <w:jc w:val="both"/>
      </w:pPr>
      <w:r>
        <w:rPr>
          <w:sz w:val="20"/>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руководителем (заместителем руководителя), без указания в таком разъяснении сведений, отнесенных к категории ограниченного доступа.</w:t>
      </w:r>
    </w:p>
    <w:p>
      <w:pPr>
        <w:pStyle w:val="0"/>
        <w:spacing w:before="200" w:line-rule="auto"/>
        <w:ind w:firstLine="540"/>
        <w:jc w:val="both"/>
      </w:pPr>
      <w:r>
        <w:rPr>
          <w:sz w:val="20"/>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0"/>
        <w:spacing w:before="200" w:line-rule="auto"/>
        <w:ind w:firstLine="540"/>
        <w:jc w:val="both"/>
      </w:pPr>
      <w:r>
        <w:rPr>
          <w:sz w:val="20"/>
        </w:rPr>
        <w:t xml:space="preserve">В ходе профилактического визита должностным лицом контрольного органа может осуществляться консультирование контролируемого лица.</w:t>
      </w:r>
    </w:p>
    <w:p>
      <w:pPr>
        <w:pStyle w:val="0"/>
        <w:spacing w:before="200" w:line-rule="auto"/>
        <w:ind w:firstLine="540"/>
        <w:jc w:val="both"/>
      </w:pPr>
      <w:r>
        <w:rPr>
          <w:sz w:val="20"/>
        </w:rPr>
        <w:t xml:space="preserve">При проведении профилактического визита контролируемым лицам не могут выдаваться предписания, за исключением случаев, предусмотренных </w:t>
      </w:r>
      <w:hyperlink w:history="0" r:id="rId22" w:tooltip="Постановление Правительства РФ от 10.03.2022 N 336 (ред. от 18.07.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пунктами 11.5</w:t>
        </w:r>
      </w:hyperlink>
      <w:r>
        <w:rPr>
          <w:sz w:val="20"/>
        </w:rPr>
        <w:t xml:space="preserve"> и </w:t>
      </w:r>
      <w:hyperlink w:history="0" r:id="rId23" w:tooltip="Постановление Правительства РФ от 10.03.2022 N 336 (ред. от 18.07.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11.6</w:t>
        </w:r>
      </w:hyperlink>
      <w:r>
        <w:rPr>
          <w:sz w:val="20"/>
        </w:rPr>
        <w:t xml:space="preserve"> постановления Правительства Российской Федерации от 10.03.2022 N 336 "Об особенностях организации и осуществления государственного контроля (надзора), муниципального контроля".</w:t>
      </w:r>
    </w:p>
    <w:p>
      <w:pPr>
        <w:pStyle w:val="0"/>
        <w:jc w:val="both"/>
      </w:pPr>
      <w:r>
        <w:rPr>
          <w:sz w:val="20"/>
        </w:rPr>
        <w:t xml:space="preserve">(в ред. </w:t>
      </w:r>
      <w:hyperlink w:history="0" r:id="rId24" w:tooltip="Решение Думы города Пыть-Яха от 11.12.2023 N 225 &quot;О внесении изменений в решение Думы города Пыть-Яха от 30.07.2021 N 415 &quot;Об утверждении Положения о муниципальном земельном контроле в границах города Пыть-Яха&quot; (в ред. от 15.07.2022 N 94)&quot; {КонсультантПлюс}">
        <w:r>
          <w:rPr>
            <w:sz w:val="20"/>
            <w:color w:val="0000ff"/>
          </w:rPr>
          <w:t xml:space="preserve">решения</w:t>
        </w:r>
      </w:hyperlink>
      <w:r>
        <w:rPr>
          <w:sz w:val="20"/>
        </w:rPr>
        <w:t xml:space="preserve"> Думы города Пыть-Яха от 11.12.2023 N 225)</w:t>
      </w:r>
    </w:p>
    <w:p>
      <w:pPr>
        <w:pStyle w:val="0"/>
        <w:spacing w:before="200" w:line-rule="auto"/>
        <w:ind w:firstLine="540"/>
        <w:jc w:val="both"/>
      </w:pPr>
      <w:r>
        <w:rPr>
          <w:sz w:val="20"/>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pPr>
        <w:pStyle w:val="0"/>
        <w:jc w:val="both"/>
      </w:pPr>
      <w:r>
        <w:rPr>
          <w:sz w:val="20"/>
        </w:rPr>
        <w:t xml:space="preserve">(в ред. </w:t>
      </w:r>
      <w:hyperlink w:history="0" r:id="rId25" w:tooltip="Решение Думы города Пыть-Яха от 15.07.2022 N 94 &quot;О внесении изменений в решение Думы города Пыть-Яха от 30.07.2021 N 415 &quot;Об утверждении Положения о муниципальном земельном контроле в границах города Пыть-Яха&quot; {КонсультантПлюс}">
        <w:r>
          <w:rPr>
            <w:sz w:val="20"/>
            <w:color w:val="0000ff"/>
          </w:rPr>
          <w:t xml:space="preserve">решения</w:t>
        </w:r>
      </w:hyperlink>
      <w:r>
        <w:rPr>
          <w:sz w:val="20"/>
        </w:rPr>
        <w:t xml:space="preserve"> Думы города Пыть-Яха от 15.07.2022 N 94)</w:t>
      </w:r>
    </w:p>
    <w:p>
      <w:pPr>
        <w:pStyle w:val="0"/>
        <w:spacing w:before="200" w:line-rule="auto"/>
        <w:ind w:firstLine="540"/>
        <w:jc w:val="both"/>
      </w:pPr>
      <w:r>
        <w:rPr>
          <w:sz w:val="20"/>
        </w:rPr>
        <w:t xml:space="preserve">35.1. Контролируемое лицо вправе обратиться в контрольный орган с заявлением о проведении в отношении его профилактического визита (далее также в настоящем разделе - заявление контролируемого лица).</w:t>
      </w:r>
    </w:p>
    <w:p>
      <w:pPr>
        <w:pStyle w:val="0"/>
        <w:jc w:val="both"/>
      </w:pPr>
      <w:r>
        <w:rPr>
          <w:sz w:val="20"/>
        </w:rPr>
        <w:t xml:space="preserve">(п. 35.1 введен </w:t>
      </w:r>
      <w:hyperlink w:history="0" r:id="rId26" w:tooltip="Решение Думы города Пыть-Яха от 11.12.2023 N 225 &quot;О внесении изменений в решение Думы города Пыть-Яха от 30.07.2021 N 415 &quot;Об утверждении Положения о муниципальном земельном контроле в границах города Пыть-Яха&quot; (в ред. от 15.07.2022 N 94)&quot; {КонсультантПлюс}">
        <w:r>
          <w:rPr>
            <w:sz w:val="20"/>
            <w:color w:val="0000ff"/>
          </w:rPr>
          <w:t xml:space="preserve">решением</w:t>
        </w:r>
      </w:hyperlink>
      <w:r>
        <w:rPr>
          <w:sz w:val="20"/>
        </w:rPr>
        <w:t xml:space="preserve"> Думы города Пыть-Яха от 11.12.2023 N 225)</w:t>
      </w:r>
    </w:p>
    <w:p>
      <w:pPr>
        <w:pStyle w:val="0"/>
        <w:spacing w:before="200" w:line-rule="auto"/>
        <w:ind w:firstLine="540"/>
        <w:jc w:val="both"/>
      </w:pPr>
      <w:r>
        <w:rPr>
          <w:sz w:val="20"/>
        </w:rPr>
        <w:t xml:space="preserve">35.2.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pPr>
        <w:pStyle w:val="0"/>
        <w:jc w:val="both"/>
      </w:pPr>
      <w:r>
        <w:rPr>
          <w:sz w:val="20"/>
        </w:rPr>
        <w:t xml:space="preserve">(п. 35.2 введен </w:t>
      </w:r>
      <w:hyperlink w:history="0" r:id="rId27" w:tooltip="Решение Думы города Пыть-Яха от 11.12.2023 N 225 &quot;О внесении изменений в решение Думы города Пыть-Яха от 30.07.2021 N 415 &quot;Об утверждении Положения о муниципальном земельном контроле в границах города Пыть-Яха&quot; (в ред. от 15.07.2022 N 94)&quot; {КонсультантПлюс}">
        <w:r>
          <w:rPr>
            <w:sz w:val="20"/>
            <w:color w:val="0000ff"/>
          </w:rPr>
          <w:t xml:space="preserve">решением</w:t>
        </w:r>
      </w:hyperlink>
      <w:r>
        <w:rPr>
          <w:sz w:val="20"/>
        </w:rPr>
        <w:t xml:space="preserve"> Думы города Пыть-Яха от 11.12.2023 N 225)</w:t>
      </w:r>
    </w:p>
    <w:p>
      <w:pPr>
        <w:pStyle w:val="0"/>
        <w:spacing w:before="200" w:line-rule="auto"/>
        <w:ind w:firstLine="540"/>
        <w:jc w:val="both"/>
      </w:pPr>
      <w:r>
        <w:rPr>
          <w:sz w:val="20"/>
        </w:rPr>
        <w:t xml:space="preserve">35.3.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pPr>
        <w:pStyle w:val="0"/>
        <w:spacing w:before="200" w:line-rule="auto"/>
        <w:ind w:firstLine="540"/>
        <w:jc w:val="both"/>
      </w:pPr>
      <w:r>
        <w:rPr>
          <w:sz w:val="20"/>
        </w:rPr>
        <w:t xml:space="preserve">1) от контролируемого лица поступило уведомление об отзыве заявления о проведении профилактического визита;</w:t>
      </w:r>
    </w:p>
    <w:p>
      <w:pPr>
        <w:pStyle w:val="0"/>
        <w:spacing w:before="200" w:line-rule="auto"/>
        <w:ind w:firstLine="540"/>
        <w:jc w:val="both"/>
      </w:pPr>
      <w:r>
        <w:rPr>
          <w:sz w:val="20"/>
        </w:rPr>
        <w:t xml:space="preserve">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pPr>
        <w:pStyle w:val="0"/>
        <w:spacing w:before="200" w:line-rule="auto"/>
        <w:ind w:firstLine="540"/>
        <w:jc w:val="both"/>
      </w:pPr>
      <w:r>
        <w:rPr>
          <w:sz w:val="20"/>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pPr>
        <w:pStyle w:val="0"/>
        <w:jc w:val="both"/>
      </w:pPr>
      <w:r>
        <w:rPr>
          <w:sz w:val="20"/>
        </w:rPr>
        <w:t xml:space="preserve">(п. 35.3 введен </w:t>
      </w:r>
      <w:hyperlink w:history="0" r:id="rId28" w:tooltip="Решение Думы города Пыть-Яха от 11.12.2023 N 225 &quot;О внесении изменений в решение Думы города Пыть-Яха от 30.07.2021 N 415 &quot;Об утверждении Положения о муниципальном земельном контроле в границах города Пыть-Яха&quot; (в ред. от 15.07.2022 N 94)&quot; {КонсультантПлюс}">
        <w:r>
          <w:rPr>
            <w:sz w:val="20"/>
            <w:color w:val="0000ff"/>
          </w:rPr>
          <w:t xml:space="preserve">решением</w:t>
        </w:r>
      </w:hyperlink>
      <w:r>
        <w:rPr>
          <w:sz w:val="20"/>
        </w:rPr>
        <w:t xml:space="preserve"> Думы города Пыть-Яха от 11.12.2023 N 225)</w:t>
      </w:r>
    </w:p>
    <w:p>
      <w:pPr>
        <w:pStyle w:val="0"/>
        <w:spacing w:before="200" w:line-rule="auto"/>
        <w:ind w:firstLine="540"/>
        <w:jc w:val="both"/>
      </w:pPr>
      <w:r>
        <w:rPr>
          <w:sz w:val="20"/>
        </w:rPr>
        <w:t xml:space="preserve">35.4.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0"/>
        <w:jc w:val="both"/>
      </w:pPr>
      <w:r>
        <w:rPr>
          <w:sz w:val="20"/>
        </w:rPr>
        <w:t xml:space="preserve">(п. 35.4 введен </w:t>
      </w:r>
      <w:hyperlink w:history="0" r:id="rId29" w:tooltip="Решение Думы города Пыть-Яха от 11.12.2023 N 225 &quot;О внесении изменений в решение Думы города Пыть-Яха от 30.07.2021 N 415 &quot;Об утверждении Положения о муниципальном земельном контроле в границах города Пыть-Яха&quot; (в ред. от 15.07.2022 N 94)&quot; {КонсультантПлюс}">
        <w:r>
          <w:rPr>
            <w:sz w:val="20"/>
            <w:color w:val="0000ff"/>
          </w:rPr>
          <w:t xml:space="preserve">решением</w:t>
        </w:r>
      </w:hyperlink>
      <w:r>
        <w:rPr>
          <w:sz w:val="20"/>
        </w:rPr>
        <w:t xml:space="preserve"> Думы города Пыть-Яха от 11.12.2023 N 225)</w:t>
      </w:r>
    </w:p>
    <w:p>
      <w:pPr>
        <w:pStyle w:val="0"/>
        <w:ind w:firstLine="540"/>
        <w:jc w:val="both"/>
      </w:pPr>
      <w:r>
        <w:rPr>
          <w:sz w:val="20"/>
        </w:rPr>
      </w:r>
    </w:p>
    <w:p>
      <w:pPr>
        <w:pStyle w:val="2"/>
        <w:outlineLvl w:val="1"/>
        <w:jc w:val="center"/>
      </w:pPr>
      <w:r>
        <w:rPr>
          <w:sz w:val="20"/>
        </w:rPr>
        <w:t xml:space="preserve">IV. Осуществление муниципального контроля</w:t>
      </w:r>
    </w:p>
    <w:p>
      <w:pPr>
        <w:pStyle w:val="0"/>
        <w:jc w:val="center"/>
      </w:pPr>
      <w:r>
        <w:rPr>
          <w:sz w:val="20"/>
        </w:rPr>
      </w:r>
    </w:p>
    <w:p>
      <w:pPr>
        <w:pStyle w:val="0"/>
        <w:ind w:firstLine="540"/>
        <w:jc w:val="both"/>
      </w:pPr>
      <w:r>
        <w:rPr>
          <w:sz w:val="20"/>
        </w:rPr>
        <w:t xml:space="preserve">36.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pPr>
        <w:pStyle w:val="0"/>
        <w:spacing w:before="200" w:line-rule="auto"/>
        <w:ind w:firstLine="540"/>
        <w:jc w:val="both"/>
      </w:pPr>
      <w:r>
        <w:rPr>
          <w:sz w:val="20"/>
        </w:rPr>
        <w:t xml:space="preserve">1) инспекционный визит;</w:t>
      </w:r>
    </w:p>
    <w:p>
      <w:pPr>
        <w:pStyle w:val="0"/>
        <w:spacing w:before="200" w:line-rule="auto"/>
        <w:ind w:firstLine="540"/>
        <w:jc w:val="both"/>
      </w:pPr>
      <w:r>
        <w:rPr>
          <w:sz w:val="20"/>
        </w:rPr>
        <w:t xml:space="preserve">2) рейдовый осмотр;</w:t>
      </w:r>
    </w:p>
    <w:p>
      <w:pPr>
        <w:pStyle w:val="0"/>
        <w:spacing w:before="200" w:line-rule="auto"/>
        <w:ind w:firstLine="540"/>
        <w:jc w:val="both"/>
      </w:pPr>
      <w:r>
        <w:rPr>
          <w:sz w:val="20"/>
        </w:rPr>
        <w:t xml:space="preserve">3) документарная проверка;</w:t>
      </w:r>
    </w:p>
    <w:p>
      <w:pPr>
        <w:pStyle w:val="0"/>
        <w:spacing w:before="200" w:line-rule="auto"/>
        <w:ind w:firstLine="540"/>
        <w:jc w:val="both"/>
      </w:pPr>
      <w:r>
        <w:rPr>
          <w:sz w:val="20"/>
        </w:rPr>
        <w:t xml:space="preserve">4) выездная проверка.</w:t>
      </w:r>
    </w:p>
    <w:p>
      <w:pPr>
        <w:pStyle w:val="0"/>
        <w:spacing w:before="200" w:line-rule="auto"/>
        <w:ind w:firstLine="540"/>
        <w:jc w:val="both"/>
      </w:pPr>
      <w:r>
        <w:rPr>
          <w:sz w:val="20"/>
        </w:rPr>
        <w:t xml:space="preserve">37.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w:t>
      </w:r>
      <w:hyperlink w:history="0" r:id="rId30"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64</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38. Без взаимодействия с контролируемым лицом осуществляются следующие контрольные мероприятия:</w:t>
      </w:r>
    </w:p>
    <w:p>
      <w:pPr>
        <w:pStyle w:val="0"/>
        <w:spacing w:before="200" w:line-rule="auto"/>
        <w:ind w:firstLine="540"/>
        <w:jc w:val="both"/>
      </w:pPr>
      <w:r>
        <w:rPr>
          <w:sz w:val="20"/>
        </w:rPr>
        <w:t xml:space="preserve">1) наблюдение за соблюдением обязательных требований (мониторинг безопасности);</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Контрольные мероприятия без взаимодействия проводятся должностными лицами контрольных органов на основании заданий руководителя (заместителя руководителя) контрольного органа.</w:t>
      </w:r>
    </w:p>
    <w:p>
      <w:pPr>
        <w:pStyle w:val="0"/>
        <w:spacing w:before="200" w:line-rule="auto"/>
        <w:ind w:firstLine="540"/>
        <w:jc w:val="both"/>
      </w:pPr>
      <w:r>
        <w:rPr>
          <w:sz w:val="20"/>
        </w:rPr>
        <w:t xml:space="preserve">39.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pPr>
        <w:pStyle w:val="0"/>
        <w:spacing w:before="200" w:line-rule="auto"/>
        <w:ind w:firstLine="540"/>
        <w:jc w:val="both"/>
      </w:pPr>
      <w:r>
        <w:rPr>
          <w:sz w:val="20"/>
        </w:rPr>
        <w:t xml:space="preserve">40. При проведении контрольных мероприятий в рамках осуществления муниципального контроля должностное лицо контрольного органа имеет право:</w:t>
      </w:r>
    </w:p>
    <w:p>
      <w:pPr>
        <w:pStyle w:val="0"/>
        <w:spacing w:before="200" w:line-rule="auto"/>
        <w:ind w:firstLine="540"/>
        <w:jc w:val="both"/>
      </w:pPr>
      <w:r>
        <w:rPr>
          <w:sz w:val="20"/>
        </w:rPr>
        <w:t xml:space="preserve">1) совершать действия, предусмотренные </w:t>
      </w:r>
      <w:hyperlink w:history="0" r:id="rId31"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2 статьи 29</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pPr>
        <w:pStyle w:val="0"/>
        <w:spacing w:before="200" w:line-rule="auto"/>
        <w:ind w:firstLine="540"/>
        <w:jc w:val="both"/>
      </w:pPr>
      <w:r>
        <w:rPr>
          <w:sz w:val="20"/>
        </w:rPr>
        <w:t xml:space="preserve">Для фиксации инспектором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способы фиксации доказательств при проведении контрольных мероприятий, за исключением:</w:t>
      </w:r>
    </w:p>
    <w:p>
      <w:pPr>
        <w:pStyle w:val="0"/>
        <w:spacing w:before="200" w:line-rule="auto"/>
        <w:ind w:firstLine="540"/>
        <w:jc w:val="both"/>
      </w:pPr>
      <w:r>
        <w:rPr>
          <w:sz w:val="20"/>
        </w:rPr>
        <w:t xml:space="preserve">а) сведений, отнесенных законодательством Российской Федерации к государственной тайне;</w:t>
      </w:r>
    </w:p>
    <w:p>
      <w:pPr>
        <w:pStyle w:val="0"/>
        <w:spacing w:before="200" w:line-rule="auto"/>
        <w:ind w:firstLine="540"/>
        <w:jc w:val="both"/>
      </w:pPr>
      <w:r>
        <w:rPr>
          <w:sz w:val="20"/>
        </w:rPr>
        <w:t xml:space="preserve">б) объектов, территорий, которые законодательством Российской Федерации отнесены к режимным и особо важным объектам.</w:t>
      </w:r>
    </w:p>
    <w:p>
      <w:pPr>
        <w:pStyle w:val="0"/>
        <w:spacing w:before="200" w:line-rule="auto"/>
        <w:ind w:firstLine="540"/>
        <w:jc w:val="both"/>
      </w:pPr>
      <w:r>
        <w:rPr>
          <w:sz w:val="20"/>
        </w:rPr>
        <w:t xml:space="preserve">Порядок осуществления фотосъемки, аудио- и видеозаписи:</w:t>
      </w:r>
    </w:p>
    <w:p>
      <w:pPr>
        <w:pStyle w:val="0"/>
        <w:spacing w:before="200" w:line-rule="auto"/>
        <w:ind w:firstLine="540"/>
        <w:jc w:val="both"/>
      </w:pPr>
      <w:r>
        <w:rPr>
          <w:sz w:val="20"/>
        </w:rPr>
        <w:t xml:space="preserve">а) для фиксации хода и результатов контрольного мероприятия осуществляются ориентирующая, обзорная, узловая и детальная фотосъемка и видеозапись;</w:t>
      </w:r>
    </w:p>
    <w:p>
      <w:pPr>
        <w:pStyle w:val="0"/>
        <w:spacing w:before="200" w:line-rule="auto"/>
        <w:ind w:firstLine="540"/>
        <w:jc w:val="both"/>
      </w:pPr>
      <w:r>
        <w:rPr>
          <w:sz w:val="20"/>
        </w:rPr>
        <w:t xml:space="preserve">б) фотосъемка, аудио- и видеофиксация проводятся инспектором,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pPr>
        <w:pStyle w:val="0"/>
        <w:spacing w:before="200" w:line-rule="auto"/>
        <w:ind w:firstLine="540"/>
        <w:jc w:val="both"/>
      </w:pPr>
      <w:r>
        <w:rPr>
          <w:sz w:val="20"/>
        </w:rPr>
        <w:t xml:space="preserve">в) аудиозапись ведет инспектор, назначенный ответственным за проведение контрольного мероприятия должностным лицом;</w:t>
      </w:r>
    </w:p>
    <w:p>
      <w:pPr>
        <w:pStyle w:val="0"/>
        <w:spacing w:before="200" w:line-rule="auto"/>
        <w:ind w:firstLine="540"/>
        <w:jc w:val="both"/>
      </w:pPr>
      <w:r>
        <w:rPr>
          <w:sz w:val="20"/>
        </w:rPr>
        <w:t xml:space="preserve">г) при проведении фото- и видеофиксации должны соблюдаться следующие требования:</w:t>
      </w:r>
    </w:p>
    <w:p>
      <w:pPr>
        <w:pStyle w:val="0"/>
        <w:spacing w:before="200" w:line-rule="auto"/>
        <w:ind w:firstLine="540"/>
        <w:jc w:val="both"/>
      </w:pPr>
      <w:r>
        <w:rPr>
          <w:sz w:val="20"/>
        </w:rPr>
        <w:t xml:space="preserve">необходимо применять приемы фиксации, при которых исключается возможность искажения свойств объекта контроля; 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pPr>
        <w:pStyle w:val="0"/>
        <w:spacing w:before="200" w:line-rule="auto"/>
        <w:ind w:firstLine="540"/>
        <w:jc w:val="both"/>
      </w:pPr>
      <w:r>
        <w:rPr>
          <w:sz w:val="20"/>
        </w:rPr>
        <w:t xml:space="preserve">д)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pPr>
        <w:pStyle w:val="0"/>
        <w:spacing w:before="200" w:line-rule="auto"/>
        <w:ind w:firstLine="540"/>
        <w:jc w:val="both"/>
      </w:pPr>
      <w:r>
        <w:rPr>
          <w:sz w:val="20"/>
        </w:rPr>
        <w:t xml:space="preserve">е) фото-, аудио- и видеоматериалы являются приложением к акту контрольного мероприятия.</w:t>
      </w:r>
    </w:p>
    <w:p>
      <w:pPr>
        <w:pStyle w:val="0"/>
        <w:spacing w:before="200" w:line-rule="auto"/>
        <w:ind w:firstLine="540"/>
        <w:jc w:val="both"/>
      </w:pPr>
      <w:r>
        <w:rPr>
          <w:sz w:val="20"/>
        </w:rPr>
        <w:t xml:space="preserve">Решение об осуществлении фотосъемки, аудио- и видеозаписи для фиксации доказательств выявленных нарушений обязательных требований принимается должностным лицом контрольного органа самостоятельно при совершении следующих контрольных действий:</w:t>
      </w:r>
    </w:p>
    <w:p>
      <w:pPr>
        <w:pStyle w:val="0"/>
        <w:spacing w:before="200" w:line-rule="auto"/>
        <w:ind w:firstLine="540"/>
        <w:jc w:val="both"/>
      </w:pPr>
      <w:r>
        <w:rPr>
          <w:sz w:val="20"/>
        </w:rPr>
        <w:t xml:space="preserve">осмотр - фотосъемка, видеозапись;</w:t>
      </w:r>
    </w:p>
    <w:p>
      <w:pPr>
        <w:pStyle w:val="0"/>
        <w:spacing w:before="200" w:line-rule="auto"/>
        <w:ind w:firstLine="540"/>
        <w:jc w:val="both"/>
      </w:pPr>
      <w:r>
        <w:rPr>
          <w:sz w:val="20"/>
        </w:rPr>
        <w:t xml:space="preserve">опрос - аудиозапись;</w:t>
      </w:r>
    </w:p>
    <w:p>
      <w:pPr>
        <w:pStyle w:val="0"/>
        <w:spacing w:before="200" w:line-rule="auto"/>
        <w:ind w:firstLine="540"/>
        <w:jc w:val="both"/>
      </w:pPr>
      <w:r>
        <w:rPr>
          <w:sz w:val="20"/>
        </w:rPr>
        <w:t xml:space="preserve">получение письменных объяснений - фотосъемка, видеозапись; истребование документов - фотосъемка, аудио- и видеозапись; инструментальное обследование - фотосъемка, видеозапись;</w:t>
      </w:r>
    </w:p>
    <w:p>
      <w:pPr>
        <w:pStyle w:val="0"/>
        <w:spacing w:before="200" w:line-rule="auto"/>
        <w:ind w:firstLine="540"/>
        <w:jc w:val="both"/>
      </w:pPr>
      <w:r>
        <w:rPr>
          <w:sz w:val="20"/>
        </w:rPr>
        <w:t xml:space="preserve">экспертиза - фотосъемка, видеозапись.</w:t>
      </w:r>
    </w:p>
    <w:p>
      <w:pPr>
        <w:pStyle w:val="0"/>
        <w:spacing w:before="200" w:line-rule="auto"/>
        <w:ind w:firstLine="540"/>
        <w:jc w:val="both"/>
      </w:pPr>
      <w:r>
        <w:rPr>
          <w:sz w:val="20"/>
        </w:rPr>
        <w:t xml:space="preserve">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pPr>
        <w:pStyle w:val="0"/>
        <w:spacing w:before="200" w:line-rule="auto"/>
        <w:ind w:firstLine="540"/>
        <w:jc w:val="both"/>
      </w:pPr>
      <w:r>
        <w:rPr>
          <w:sz w:val="20"/>
        </w:rPr>
        <w:t xml:space="preserve">Решение об осуществлении фиксации доказательств выявленных нарушений обязательных требований с помощью технических средств при совершении контрольных действий принимается должностным лицом контрольного органа самостоятельно. 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протокола контрольных действий и прилагается к акту контрольного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pPr>
        <w:pStyle w:val="0"/>
        <w:jc w:val="both"/>
      </w:pPr>
      <w:r>
        <w:rPr>
          <w:sz w:val="20"/>
        </w:rPr>
        <w:t xml:space="preserve">(пп. 2 в ред. </w:t>
      </w:r>
      <w:hyperlink w:history="0" r:id="rId32" w:tooltip="Решение Думы города Пыть-Яха от 15.07.2022 N 94 &quot;О внесении изменений в решение Думы города Пыть-Яха от 30.07.2021 N 415 &quot;Об утверждении Положения о муниципальном земельном контроле в границах города Пыть-Яха&quot; {КонсультантПлюс}">
        <w:r>
          <w:rPr>
            <w:sz w:val="20"/>
            <w:color w:val="0000ff"/>
          </w:rPr>
          <w:t xml:space="preserve">решения</w:t>
        </w:r>
      </w:hyperlink>
      <w:r>
        <w:rPr>
          <w:sz w:val="20"/>
        </w:rPr>
        <w:t xml:space="preserve"> Думы города Пыть-Яха от 15.07.2022 N 94)</w:t>
      </w:r>
    </w:p>
    <w:p>
      <w:pPr>
        <w:pStyle w:val="0"/>
        <w:spacing w:before="200" w:line-rule="auto"/>
        <w:ind w:firstLine="540"/>
        <w:jc w:val="both"/>
      </w:pPr>
      <w:r>
        <w:rPr>
          <w:sz w:val="20"/>
        </w:rPr>
        <w:t xml:space="preserve">3) - 4) утратили силу. - </w:t>
      </w:r>
      <w:hyperlink w:history="0" r:id="rId33" w:tooltip="Решение Думы города Пыть-Яха от 15.07.2022 N 94 &quot;О внесении изменений в решение Думы города Пыть-Яха от 30.07.2021 N 415 &quot;Об утверждении Положения о муниципальном земельном контроле в границах города Пыть-Яха&quot; {КонсультантПлюс}">
        <w:r>
          <w:rPr>
            <w:sz w:val="20"/>
            <w:color w:val="0000ff"/>
          </w:rPr>
          <w:t xml:space="preserve">Решение</w:t>
        </w:r>
      </w:hyperlink>
      <w:r>
        <w:rPr>
          <w:sz w:val="20"/>
        </w:rPr>
        <w:t xml:space="preserve"> Думы города Пыть-Яха от 15.07.2022 N 94.</w:t>
      </w:r>
    </w:p>
    <w:p>
      <w:pPr>
        <w:pStyle w:val="0"/>
        <w:spacing w:before="200" w:line-rule="auto"/>
        <w:ind w:firstLine="540"/>
        <w:jc w:val="both"/>
      </w:pPr>
      <w:r>
        <w:rPr>
          <w:sz w:val="20"/>
        </w:rPr>
        <w:t xml:space="preserve">41. Контрольный орган (инспектор) в соответствии со </w:t>
      </w:r>
      <w:hyperlink w:history="0" r:id="rId34"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32</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может привлекать на добровольной основе свидетелей, которым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pPr>
        <w:pStyle w:val="0"/>
        <w:spacing w:before="200" w:line-rule="auto"/>
        <w:ind w:firstLine="540"/>
        <w:jc w:val="both"/>
      </w:pPr>
      <w:r>
        <w:rPr>
          <w:sz w:val="20"/>
        </w:rPr>
        <w:t xml:space="preserve">42. Контрольный орган в соответствии со </w:t>
      </w:r>
      <w:hyperlink w:history="0" r:id="rId35"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33</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w:t>
      </w:r>
    </w:p>
    <w:p>
      <w:pPr>
        <w:pStyle w:val="0"/>
        <w:spacing w:before="200" w:line-rule="auto"/>
        <w:ind w:firstLine="540"/>
        <w:jc w:val="both"/>
      </w:pPr>
      <w:r>
        <w:rPr>
          <w:sz w:val="20"/>
        </w:rPr>
        <w:t xml:space="preserve">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pPr>
        <w:pStyle w:val="0"/>
        <w:spacing w:before="200" w:line-rule="auto"/>
        <w:ind w:firstLine="540"/>
        <w:jc w:val="both"/>
      </w:pPr>
      <w:r>
        <w:rPr>
          <w:sz w:val="20"/>
        </w:rPr>
        <w:t xml:space="preserve">43. Контрольный орган в соответствии со </w:t>
      </w:r>
      <w:hyperlink w:history="0" r:id="rId36"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34</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pPr>
        <w:pStyle w:val="0"/>
        <w:spacing w:before="200" w:line-rule="auto"/>
        <w:ind w:firstLine="540"/>
        <w:jc w:val="both"/>
      </w:pPr>
      <w:r>
        <w:rPr>
          <w:sz w:val="20"/>
        </w:rPr>
        <w:t xml:space="preserve">44.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history="0" r:id="rId37"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частями 4</w:t>
        </w:r>
      </w:hyperlink>
      <w:r>
        <w:rPr>
          <w:sz w:val="20"/>
        </w:rPr>
        <w:t xml:space="preserve"> и </w:t>
      </w:r>
      <w:hyperlink w:history="0" r:id="rId38"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5 статьи 21</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pPr>
        <w:pStyle w:val="0"/>
        <w:spacing w:before="200" w:line-rule="auto"/>
        <w:ind w:firstLine="540"/>
        <w:jc w:val="both"/>
      </w:pPr>
      <w:r>
        <w:rPr>
          <w:sz w:val="20"/>
        </w:rPr>
        <w:t xml:space="preserve">45.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pPr>
        <w:pStyle w:val="0"/>
        <w:spacing w:before="200" w:line-rule="auto"/>
        <w:ind w:firstLine="540"/>
        <w:jc w:val="both"/>
      </w:pPr>
      <w:r>
        <w:rPr>
          <w:sz w:val="20"/>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pPr>
        <w:pStyle w:val="0"/>
        <w:spacing w:before="200" w:line-rule="auto"/>
        <w:ind w:firstLine="540"/>
        <w:jc w:val="both"/>
      </w:pPr>
      <w:r>
        <w:rPr>
          <w:sz w:val="20"/>
        </w:rPr>
        <w:t xml:space="preserve">46. Случаями, при наступлении которых контролируемые лица, вправе в соответствии с </w:t>
      </w:r>
      <w:hyperlink w:history="0" r:id="rId39"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8 статьи 31</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w:t>
      </w:r>
    </w:p>
    <w:p>
      <w:pPr>
        <w:pStyle w:val="0"/>
        <w:jc w:val="both"/>
      </w:pPr>
      <w:r>
        <w:rPr>
          <w:sz w:val="20"/>
        </w:rPr>
        <w:t xml:space="preserve">(в ред. </w:t>
      </w:r>
      <w:hyperlink w:history="0" r:id="rId40" w:tooltip="Решение Думы города Пыть-Яха от 15.07.2022 N 94 &quot;О внесении изменений в решение Думы города Пыть-Яха от 30.07.2021 N 415 &quot;Об утверждении Положения о муниципальном земельном контроле в границах города Пыть-Яха&quot; {КонсультантПлюс}">
        <w:r>
          <w:rPr>
            <w:sz w:val="20"/>
            <w:color w:val="0000ff"/>
          </w:rPr>
          <w:t xml:space="preserve">решения</w:t>
        </w:r>
      </w:hyperlink>
      <w:r>
        <w:rPr>
          <w:sz w:val="20"/>
        </w:rPr>
        <w:t xml:space="preserve"> Думы города Пыть-Яха от 15.07.2022 N 94)</w:t>
      </w:r>
    </w:p>
    <w:p>
      <w:pPr>
        <w:pStyle w:val="0"/>
        <w:spacing w:before="200" w:line-rule="auto"/>
        <w:ind w:firstLine="540"/>
        <w:jc w:val="both"/>
      </w:pPr>
      <w:r>
        <w:rPr>
          <w:sz w:val="20"/>
        </w:rPr>
        <w:t xml:space="preserve">1) временная нетрудоспособность;</w:t>
      </w:r>
    </w:p>
    <w:p>
      <w:pPr>
        <w:pStyle w:val="0"/>
        <w:spacing w:before="200" w:line-rule="auto"/>
        <w:ind w:firstLine="540"/>
        <w:jc w:val="both"/>
      </w:pPr>
      <w:r>
        <w:rPr>
          <w:sz w:val="20"/>
        </w:rPr>
        <w:t xml:space="preserve">2) нахождение за пределами Российской Федерации;</w:t>
      </w:r>
    </w:p>
    <w:p>
      <w:pPr>
        <w:pStyle w:val="0"/>
        <w:spacing w:before="200" w:line-rule="auto"/>
        <w:ind w:firstLine="540"/>
        <w:jc w:val="both"/>
      </w:pPr>
      <w:r>
        <w:rPr>
          <w:sz w:val="20"/>
        </w:rPr>
        <w:t xml:space="preserve">3) административный арест;</w:t>
      </w:r>
    </w:p>
    <w:p>
      <w:pPr>
        <w:pStyle w:val="0"/>
        <w:spacing w:before="200" w:line-rule="auto"/>
        <w:ind w:firstLine="540"/>
        <w:jc w:val="both"/>
      </w:pPr>
      <w:r>
        <w:rPr>
          <w:sz w:val="20"/>
        </w:rPr>
        <w:t xml:space="preserve">4) избрание в отношении подозреваемого (обвиняемого)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pPr>
        <w:pStyle w:val="0"/>
        <w:spacing w:before="200" w:line-rule="auto"/>
        <w:ind w:firstLine="540"/>
        <w:jc w:val="both"/>
      </w:pPr>
      <w:r>
        <w:rPr>
          <w:sz w:val="20"/>
        </w:rPr>
        <w:t xml:space="preserve">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pPr>
        <w:pStyle w:val="0"/>
        <w:jc w:val="both"/>
      </w:pPr>
      <w:r>
        <w:rPr>
          <w:sz w:val="20"/>
        </w:rPr>
        <w:t xml:space="preserve">(в ред. </w:t>
      </w:r>
      <w:hyperlink w:history="0" r:id="rId41" w:tooltip="Решение Думы города Пыть-Яха от 15.07.2022 N 94 &quot;О внесении изменений в решение Думы города Пыть-Яха от 30.07.2021 N 415 &quot;Об утверждении Положения о муниципальном земельном контроле в границах города Пыть-Яха&quot; {КонсультантПлюс}">
        <w:r>
          <w:rPr>
            <w:sz w:val="20"/>
            <w:color w:val="0000ff"/>
          </w:rPr>
          <w:t xml:space="preserve">решения</w:t>
        </w:r>
      </w:hyperlink>
      <w:r>
        <w:rPr>
          <w:sz w:val="20"/>
        </w:rPr>
        <w:t xml:space="preserve"> Думы города Пыть-Яха от 15.07.2022 N 94)</w:t>
      </w:r>
    </w:p>
    <w:p>
      <w:pPr>
        <w:pStyle w:val="0"/>
        <w:spacing w:before="200" w:line-rule="auto"/>
        <w:ind w:firstLine="540"/>
        <w:jc w:val="both"/>
      </w:pPr>
      <w:r>
        <w:rPr>
          <w:sz w:val="20"/>
        </w:rPr>
        <w:t xml:space="preserve">Информация лица должна содержать:</w:t>
      </w:r>
    </w:p>
    <w:p>
      <w:pPr>
        <w:pStyle w:val="0"/>
        <w:spacing w:before="200" w:line-rule="auto"/>
        <w:ind w:firstLine="540"/>
        <w:jc w:val="both"/>
      </w:pPr>
      <w:r>
        <w:rPr>
          <w:sz w:val="20"/>
        </w:rPr>
        <w:t xml:space="preserve">а) описание обстоятельств и их продолжительность;</w:t>
      </w:r>
    </w:p>
    <w:p>
      <w:pPr>
        <w:pStyle w:val="0"/>
        <w:spacing w:before="200" w:line-rule="auto"/>
        <w:ind w:firstLine="540"/>
        <w:jc w:val="both"/>
      </w:pPr>
      <w:r>
        <w:rPr>
          <w:sz w:val="20"/>
        </w:rPr>
        <w:t xml:space="preserve">б) сведения о причинно-следственной связи между возникшими обстоятельствами и невозможностью, либо задержкой присутствия при проведении контрольного мероприятия;</w:t>
      </w:r>
    </w:p>
    <w:p>
      <w:pPr>
        <w:pStyle w:val="0"/>
        <w:jc w:val="both"/>
      </w:pPr>
      <w:r>
        <w:rPr>
          <w:sz w:val="20"/>
        </w:rPr>
        <w:t xml:space="preserve">(в ред. </w:t>
      </w:r>
      <w:hyperlink w:history="0" r:id="rId42" w:tooltip="Решение Думы города Пыть-Яха от 15.07.2022 N 94 &quot;О внесении изменений в решение Думы города Пыть-Яха от 30.07.2021 N 415 &quot;Об утверждении Положения о муниципальном земельном контроле в границах города Пыть-Яха&quot; {КонсультантПлюс}">
        <w:r>
          <w:rPr>
            <w:sz w:val="20"/>
            <w:color w:val="0000ff"/>
          </w:rPr>
          <w:t xml:space="preserve">решения</w:t>
        </w:r>
      </w:hyperlink>
      <w:r>
        <w:rPr>
          <w:sz w:val="20"/>
        </w:rPr>
        <w:t xml:space="preserve"> Думы города Пыть-Яха от 15.07.2022 N 94)</w:t>
      </w:r>
    </w:p>
    <w:p>
      <w:pPr>
        <w:pStyle w:val="0"/>
        <w:spacing w:before="200" w:line-rule="auto"/>
        <w:ind w:firstLine="540"/>
        <w:jc w:val="both"/>
      </w:pPr>
      <w:r>
        <w:rPr>
          <w:sz w:val="20"/>
        </w:rPr>
        <w:t xml:space="preserve">в) указание на срок, необходимый для устранения обстоятельств, препятствующих присутствию при проведении контрольного мероприятия (при наличии возможности его определить).</w:t>
      </w:r>
    </w:p>
    <w:p>
      <w:pPr>
        <w:pStyle w:val="0"/>
        <w:spacing w:before="200" w:line-rule="auto"/>
        <w:ind w:firstLine="540"/>
        <w:jc w:val="both"/>
      </w:pPr>
      <w:r>
        <w:rPr>
          <w:sz w:val="20"/>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pPr>
        <w:pStyle w:val="0"/>
        <w:spacing w:before="200" w:line-rule="auto"/>
        <w:ind w:firstLine="540"/>
        <w:jc w:val="both"/>
      </w:pPr>
      <w:r>
        <w:rPr>
          <w:sz w:val="20"/>
        </w:rPr>
        <w:t xml:space="preserve">47. Контрольное мероприятие может быть начато после внесения в единый реестр контрольных (надзорных) мероприятий сведений (далее - ЕРКНМ), в соответствии с </w:t>
      </w:r>
      <w:hyperlink w:history="0" r:id="rId43"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Правилами</w:t>
        </w:r>
      </w:hyperlink>
      <w:r>
        <w:rPr>
          <w:sz w:val="20"/>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p>
      <w:pPr>
        <w:pStyle w:val="0"/>
        <w:spacing w:before="200" w:line-rule="auto"/>
        <w:ind w:firstLine="540"/>
        <w:jc w:val="both"/>
      </w:pPr>
      <w:r>
        <w:rPr>
          <w:sz w:val="20"/>
        </w:rPr>
        <w:t xml:space="preserve">48. Проведение контрольного мероприятия, не включенного в ЕРКНМ, за исключением проведения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(ЕРКНМ), зафиксированных оператором реестра,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pPr>
        <w:pStyle w:val="0"/>
        <w:jc w:val="both"/>
      </w:pPr>
      <w:r>
        <w:rPr>
          <w:sz w:val="20"/>
        </w:rPr>
        <w:t xml:space="preserve">(в ред. </w:t>
      </w:r>
      <w:hyperlink w:history="0" r:id="rId44" w:tooltip="Решение Думы города Пыть-Яха от 15.07.2022 N 94 &quot;О внесении изменений в решение Думы города Пыть-Яха от 30.07.2021 N 415 &quot;Об утверждении Положения о муниципальном земельном контроле в границах города Пыть-Яха&quot; {КонсультантПлюс}">
        <w:r>
          <w:rPr>
            <w:sz w:val="20"/>
            <w:color w:val="0000ff"/>
          </w:rPr>
          <w:t xml:space="preserve">решения</w:t>
        </w:r>
      </w:hyperlink>
      <w:r>
        <w:rPr>
          <w:sz w:val="20"/>
        </w:rPr>
        <w:t xml:space="preserve"> Думы города Пыть-Яха от 15.07.2022 N 94)</w:t>
      </w:r>
    </w:p>
    <w:p>
      <w:pPr>
        <w:pStyle w:val="0"/>
        <w:spacing w:before="200" w:line-rule="auto"/>
        <w:ind w:firstLine="540"/>
        <w:jc w:val="both"/>
      </w:pPr>
      <w:r>
        <w:rPr>
          <w:sz w:val="20"/>
        </w:rPr>
        <w:t xml:space="preserve">49. Контрольные мероприятия, за исключением контрольных мероприятий без взаимодействия, могут проводиться на плановой и внеплановой основе.</w:t>
      </w:r>
    </w:p>
    <w:p>
      <w:pPr>
        <w:pStyle w:val="0"/>
        <w:spacing w:before="200" w:line-rule="auto"/>
        <w:ind w:firstLine="540"/>
        <w:jc w:val="both"/>
      </w:pPr>
      <w:r>
        <w:rPr>
          <w:sz w:val="20"/>
        </w:rPr>
        <w:t xml:space="preserve">50. Плановые контрольные мероприятия осуществляются инспекторами на основании ежегодного плана проведения плановых контрольных мероприятий, формируемого контрольным органом и подлежащего согласованию с органами прокуратуры.</w:t>
      </w:r>
    </w:p>
    <w:p>
      <w:pPr>
        <w:pStyle w:val="0"/>
        <w:spacing w:before="200" w:line-rule="auto"/>
        <w:ind w:firstLine="540"/>
        <w:jc w:val="both"/>
      </w:pPr>
      <w:r>
        <w:rPr>
          <w:sz w:val="20"/>
        </w:rPr>
        <w:t xml:space="preserve">51. План проведения плановых контрольных мероприятий разрабатывается в соответствии с </w:t>
      </w:r>
      <w:hyperlink w:history="0" r:id="rId45" w:tooltip="Постановление Правительства РФ от 31.12.2020 N 2428 (ред. от 23.05.2024)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постановлением</w:t>
        </w:r>
      </w:hyperlink>
      <w:r>
        <w:rPr>
          <w:sz w:val="20"/>
        </w:rPr>
        <w:t xml:space="preserve">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pPr>
        <w:pStyle w:val="0"/>
        <w:spacing w:before="200" w:line-rule="auto"/>
        <w:ind w:firstLine="540"/>
        <w:jc w:val="both"/>
      </w:pPr>
      <w:r>
        <w:rPr>
          <w:sz w:val="20"/>
        </w:rPr>
        <w:t xml:space="preserve">52. Плановыми контрольными мероприятиями при осуществлении муниципального контроля являются:</w:t>
      </w:r>
    </w:p>
    <w:p>
      <w:pPr>
        <w:pStyle w:val="0"/>
        <w:spacing w:before="200" w:line-rule="auto"/>
        <w:ind w:firstLine="540"/>
        <w:jc w:val="both"/>
      </w:pPr>
      <w:r>
        <w:rPr>
          <w:sz w:val="20"/>
        </w:rPr>
        <w:t xml:space="preserve">1) инспекционный визит;</w:t>
      </w:r>
    </w:p>
    <w:p>
      <w:pPr>
        <w:pStyle w:val="0"/>
        <w:spacing w:before="200" w:line-rule="auto"/>
        <w:ind w:firstLine="540"/>
        <w:jc w:val="both"/>
      </w:pPr>
      <w:r>
        <w:rPr>
          <w:sz w:val="20"/>
        </w:rPr>
        <w:t xml:space="preserve">2) рейдовый осмотр;</w:t>
      </w:r>
    </w:p>
    <w:p>
      <w:pPr>
        <w:pStyle w:val="0"/>
        <w:spacing w:before="200" w:line-rule="auto"/>
        <w:ind w:firstLine="540"/>
        <w:jc w:val="both"/>
      </w:pPr>
      <w:r>
        <w:rPr>
          <w:sz w:val="20"/>
        </w:rPr>
        <w:t xml:space="preserve">3) документарная проверка;</w:t>
      </w:r>
    </w:p>
    <w:p>
      <w:pPr>
        <w:pStyle w:val="0"/>
        <w:spacing w:before="200" w:line-rule="auto"/>
        <w:ind w:firstLine="540"/>
        <w:jc w:val="both"/>
      </w:pPr>
      <w:r>
        <w:rPr>
          <w:sz w:val="20"/>
        </w:rPr>
        <w:t xml:space="preserve">4) выездная проверка.</w:t>
      </w:r>
    </w:p>
    <w:p>
      <w:pPr>
        <w:pStyle w:val="0"/>
        <w:spacing w:before="200" w:line-rule="auto"/>
        <w:ind w:firstLine="540"/>
        <w:jc w:val="both"/>
      </w:pPr>
      <w:r>
        <w:rPr>
          <w:sz w:val="20"/>
        </w:rPr>
        <w:t xml:space="preserve">53. Частота проведения плановых контрольных мероприятий устанавливается для объектов контроля, отнесенных к категории:</w:t>
      </w:r>
    </w:p>
    <w:p>
      <w:pPr>
        <w:pStyle w:val="0"/>
        <w:spacing w:before="200" w:line-rule="auto"/>
        <w:ind w:firstLine="540"/>
        <w:jc w:val="both"/>
      </w:pPr>
      <w:r>
        <w:rPr>
          <w:sz w:val="20"/>
        </w:rPr>
        <w:t xml:space="preserve">- среднего риска - один раз в четыре года;</w:t>
      </w:r>
    </w:p>
    <w:p>
      <w:pPr>
        <w:pStyle w:val="0"/>
        <w:spacing w:before="200" w:line-rule="auto"/>
        <w:ind w:firstLine="540"/>
        <w:jc w:val="both"/>
      </w:pPr>
      <w:r>
        <w:rPr>
          <w:sz w:val="20"/>
        </w:rPr>
        <w:t xml:space="preserve">- умеренного риска - один раз в шесть лет.</w:t>
      </w:r>
    </w:p>
    <w:p>
      <w:pPr>
        <w:pStyle w:val="0"/>
        <w:spacing w:before="200" w:line-rule="auto"/>
        <w:ind w:firstLine="540"/>
        <w:jc w:val="both"/>
      </w:pPr>
      <w:r>
        <w:rPr>
          <w:sz w:val="20"/>
        </w:rPr>
        <w:t xml:space="preserve">В отношении объектов контроля, отнесенных к категории низкого риска, плановые контрольные мероприятия не проводятся.</w:t>
      </w:r>
    </w:p>
    <w:p>
      <w:pPr>
        <w:pStyle w:val="0"/>
        <w:spacing w:before="200" w:line-rule="auto"/>
        <w:ind w:firstLine="540"/>
        <w:jc w:val="both"/>
      </w:pPr>
      <w:r>
        <w:rPr>
          <w:sz w:val="20"/>
        </w:rPr>
        <w:t xml:space="preserve">54. При наличии оснований, установленных </w:t>
      </w:r>
      <w:hyperlink w:history="0" r:id="rId46"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47"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 </w:t>
      </w:r>
      <w:hyperlink w:history="0" r:id="rId48"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контрольным органом проводятся следующие внеплановые контрольные мероприятия:</w:t>
      </w:r>
    </w:p>
    <w:p>
      <w:pPr>
        <w:pStyle w:val="0"/>
        <w:spacing w:before="200" w:line-rule="auto"/>
        <w:ind w:firstLine="540"/>
        <w:jc w:val="both"/>
      </w:pPr>
      <w:r>
        <w:rPr>
          <w:sz w:val="20"/>
        </w:rPr>
        <w:t xml:space="preserve">1) инспекционный визит;</w:t>
      </w:r>
    </w:p>
    <w:p>
      <w:pPr>
        <w:pStyle w:val="0"/>
        <w:spacing w:before="200" w:line-rule="auto"/>
        <w:ind w:firstLine="540"/>
        <w:jc w:val="both"/>
      </w:pPr>
      <w:r>
        <w:rPr>
          <w:sz w:val="20"/>
        </w:rPr>
        <w:t xml:space="preserve">2) рейдовый осмотр;</w:t>
      </w:r>
    </w:p>
    <w:p>
      <w:pPr>
        <w:pStyle w:val="0"/>
        <w:spacing w:before="200" w:line-rule="auto"/>
        <w:ind w:firstLine="540"/>
        <w:jc w:val="both"/>
      </w:pPr>
      <w:r>
        <w:rPr>
          <w:sz w:val="20"/>
        </w:rPr>
        <w:t xml:space="preserve">3) документарная проверка;</w:t>
      </w:r>
    </w:p>
    <w:p>
      <w:pPr>
        <w:pStyle w:val="0"/>
        <w:spacing w:before="200" w:line-rule="auto"/>
        <w:ind w:firstLine="540"/>
        <w:jc w:val="both"/>
      </w:pPr>
      <w:r>
        <w:rPr>
          <w:sz w:val="20"/>
        </w:rPr>
        <w:t xml:space="preserve">4) выездная проверка.</w:t>
      </w:r>
    </w:p>
    <w:p>
      <w:pPr>
        <w:pStyle w:val="0"/>
        <w:spacing w:before="200" w:line-rule="auto"/>
        <w:ind w:firstLine="540"/>
        <w:jc w:val="both"/>
      </w:pPr>
      <w:r>
        <w:rPr>
          <w:sz w:val="20"/>
        </w:rPr>
        <w:t xml:space="preserve">55.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bookmarkStart w:id="231" w:name="P231"/>
    <w:bookmarkEnd w:id="231"/>
    <w:p>
      <w:pPr>
        <w:pStyle w:val="0"/>
        <w:spacing w:before="200" w:line-rule="auto"/>
        <w:ind w:firstLine="540"/>
        <w:jc w:val="both"/>
      </w:pPr>
      <w:r>
        <w:rPr>
          <w:sz w:val="20"/>
        </w:rPr>
        <w:t xml:space="preserve">56.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57.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231" w:tooltip="56.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
        <w:r>
          <w:rPr>
            <w:sz w:val="20"/>
            <w:color w:val="0000ff"/>
          </w:rPr>
          <w:t xml:space="preserve">пунктом 56</w:t>
        </w:r>
      </w:hyperlink>
      <w:r>
        <w:rPr>
          <w:sz w:val="20"/>
        </w:rPr>
        <w:t xml:space="preserve"> настоящего Положения. В этом случае уведомление контролируемого лица о проведении внепланового контрольного мероприятия не проводится.</w:t>
      </w:r>
    </w:p>
    <w:p>
      <w:pPr>
        <w:pStyle w:val="0"/>
        <w:jc w:val="both"/>
      </w:pPr>
      <w:r>
        <w:rPr>
          <w:sz w:val="20"/>
        </w:rPr>
        <w:t xml:space="preserve">(в ред. </w:t>
      </w:r>
      <w:hyperlink w:history="0" r:id="rId49" w:tooltip="Решение Думы города Пыть-Яха от 15.07.2022 N 94 &quot;О внесении изменений в решение Думы города Пыть-Яха от 30.07.2021 N 415 &quot;Об утверждении Положения о муниципальном земельном контроле в границах города Пыть-Яха&quot; {КонсультантПлюс}">
        <w:r>
          <w:rPr>
            <w:sz w:val="20"/>
            <w:color w:val="0000ff"/>
          </w:rPr>
          <w:t xml:space="preserve">решения</w:t>
        </w:r>
      </w:hyperlink>
      <w:r>
        <w:rPr>
          <w:sz w:val="20"/>
        </w:rPr>
        <w:t xml:space="preserve"> Думы города Пыть-Яха от 15.07.2022 N 94)</w:t>
      </w:r>
    </w:p>
    <w:p>
      <w:pPr>
        <w:pStyle w:val="0"/>
        <w:spacing w:before="200" w:line-rule="auto"/>
        <w:ind w:firstLine="540"/>
        <w:jc w:val="both"/>
      </w:pPr>
      <w:r>
        <w:rPr>
          <w:sz w:val="20"/>
        </w:rPr>
        <w:t xml:space="preserve">58.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pPr>
        <w:pStyle w:val="0"/>
        <w:spacing w:before="200" w:line-rule="auto"/>
        <w:ind w:firstLine="540"/>
        <w:jc w:val="both"/>
      </w:pPr>
      <w:r>
        <w:rPr>
          <w:sz w:val="20"/>
        </w:rPr>
        <w:t xml:space="preserve">59.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инструментальное обследование;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60. Срок проведения контрольного мероприятия, может быть приостановлен руководителем (заместителем руководителя) контрольного органа на основании мотивированного представления инспектора в случае, если срок осуществления экспертиз превышает срок проведения контрольного мероприятия, на срок осуществления экспертиз.</w:t>
      </w:r>
    </w:p>
    <w:p>
      <w:pPr>
        <w:pStyle w:val="0"/>
        <w:jc w:val="both"/>
      </w:pPr>
      <w:r>
        <w:rPr>
          <w:sz w:val="20"/>
        </w:rPr>
        <w:t xml:space="preserve">(в ред. </w:t>
      </w:r>
      <w:hyperlink w:history="0" r:id="rId50" w:tooltip="Решение Думы города Пыть-Яха от 15.07.2022 N 94 &quot;О внесении изменений в решение Думы города Пыть-Яха от 30.07.2021 N 415 &quot;Об утверждении Положения о муниципальном земельном контроле в границах города Пыть-Яха&quot; {КонсультантПлюс}">
        <w:r>
          <w:rPr>
            <w:sz w:val="20"/>
            <w:color w:val="0000ff"/>
          </w:rPr>
          <w:t xml:space="preserve">решения</w:t>
        </w:r>
      </w:hyperlink>
      <w:r>
        <w:rPr>
          <w:sz w:val="20"/>
        </w:rPr>
        <w:t xml:space="preserve"> Думы города Пыть-Яха от 15.07.2022 N 94)</w:t>
      </w:r>
    </w:p>
    <w:p>
      <w:pPr>
        <w:pStyle w:val="0"/>
        <w:spacing w:before="200" w:line-rule="auto"/>
        <w:ind w:firstLine="540"/>
        <w:jc w:val="both"/>
      </w:pPr>
      <w:r>
        <w:rPr>
          <w:sz w:val="20"/>
        </w:rPr>
        <w:t xml:space="preserve">Срок осуществления экспертиз определяется соответствующими правовыми актами, принятыми в отношении экспертиз.</w:t>
      </w:r>
    </w:p>
    <w:p>
      <w:pPr>
        <w:pStyle w:val="0"/>
        <w:jc w:val="both"/>
      </w:pPr>
      <w:r>
        <w:rPr>
          <w:sz w:val="20"/>
        </w:rPr>
        <w:t xml:space="preserve">(в ред. </w:t>
      </w:r>
      <w:hyperlink w:history="0" r:id="rId51" w:tooltip="Решение Думы города Пыть-Яха от 15.07.2022 N 94 &quot;О внесении изменений в решение Думы города Пыть-Яха от 30.07.2021 N 415 &quot;Об утверждении Положения о муниципальном земельном контроле в границах города Пыть-Яха&quot; {КонсультантПлюс}">
        <w:r>
          <w:rPr>
            <w:sz w:val="20"/>
            <w:color w:val="0000ff"/>
          </w:rPr>
          <w:t xml:space="preserve">решения</w:t>
        </w:r>
      </w:hyperlink>
      <w:r>
        <w:rPr>
          <w:sz w:val="20"/>
        </w:rPr>
        <w:t xml:space="preserve"> Думы города Пыть-Яха от 15.07.2022 N 94)</w:t>
      </w:r>
    </w:p>
    <w:p>
      <w:pPr>
        <w:pStyle w:val="0"/>
        <w:spacing w:before="200" w:line-rule="auto"/>
        <w:ind w:firstLine="540"/>
        <w:jc w:val="both"/>
      </w:pPr>
      <w:r>
        <w:rPr>
          <w:sz w:val="20"/>
        </w:rPr>
        <w:t xml:space="preserve">61. Контрольный орган привлекает к участию в контрольном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pPr>
        <w:pStyle w:val="0"/>
        <w:spacing w:before="200" w:line-rule="auto"/>
        <w:ind w:firstLine="540"/>
        <w:jc w:val="both"/>
      </w:pPr>
      <w:r>
        <w:rPr>
          <w:sz w:val="20"/>
        </w:rPr>
        <w:t xml:space="preserve">62. Инспекционный визит проводится в порядке, установленном </w:t>
      </w:r>
      <w:hyperlink w:history="0" r:id="rId52"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70</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 ходе инспекционного визита могут совершаться следующие контрольные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r:id="rId53"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 </w:t>
      </w:r>
      <w:hyperlink w:history="0" r:id="rId54"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и </w:t>
      </w:r>
      <w:hyperlink w:history="0" r:id="rId55"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12 статьи 66</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63. Рейдовый осмотр проводится в порядке, установленном </w:t>
      </w:r>
      <w:hyperlink w:history="0" r:id="rId56"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71</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 ходе рейдового осмотра могут совершаться следующие контрольные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инструментальное обследование;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w:history="0" r:id="rId57"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 </w:t>
      </w:r>
      <w:hyperlink w:history="0" r:id="rId58"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и </w:t>
      </w:r>
      <w:hyperlink w:history="0" r:id="rId59"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12 статьи 66</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w:t>
      </w:r>
    </w:p>
    <w:p>
      <w:pPr>
        <w:pStyle w:val="0"/>
        <w:jc w:val="both"/>
      </w:pPr>
      <w:r>
        <w:rPr>
          <w:sz w:val="20"/>
        </w:rPr>
        <w:t xml:space="preserve">(в ред. </w:t>
      </w:r>
      <w:hyperlink w:history="0" r:id="rId60" w:tooltip="Решение Думы города Пыть-Яха от 15.07.2022 N 94 &quot;О внесении изменений в решение Думы города Пыть-Яха от 30.07.2021 N 415 &quot;Об утверждении Положения о муниципальном земельном контроле в границах города Пыть-Яха&quot; {КонсультантПлюс}">
        <w:r>
          <w:rPr>
            <w:sz w:val="20"/>
            <w:color w:val="0000ff"/>
          </w:rPr>
          <w:t xml:space="preserve">решения</w:t>
        </w:r>
      </w:hyperlink>
      <w:r>
        <w:rPr>
          <w:sz w:val="20"/>
        </w:rPr>
        <w:t xml:space="preserve"> Думы города Пыть-Яха от 15.07.2022 N 94)</w:t>
      </w:r>
    </w:p>
    <w:p>
      <w:pPr>
        <w:pStyle w:val="0"/>
        <w:spacing w:before="200" w:line-rule="auto"/>
        <w:ind w:firstLine="540"/>
        <w:jc w:val="both"/>
      </w:pPr>
      <w:r>
        <w:rPr>
          <w:sz w:val="20"/>
        </w:rPr>
        <w:t xml:space="preserve">64. Документарная проверка проводится в порядке, установленном </w:t>
      </w:r>
      <w:hyperlink w:history="0" r:id="rId61"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72</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 ходе документарной проверки могут совершаться следующие контрольные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Внеплановая документарная проверка проводится без согласования с органами прокуратуры.</w:t>
      </w:r>
    </w:p>
    <w:p>
      <w:pPr>
        <w:pStyle w:val="0"/>
        <w:spacing w:before="200" w:line-rule="auto"/>
        <w:ind w:firstLine="540"/>
        <w:jc w:val="both"/>
      </w:pPr>
      <w:r>
        <w:rPr>
          <w:sz w:val="20"/>
        </w:rPr>
        <w:t xml:space="preserve">65. Выездная проверка проводится в порядке, установленном </w:t>
      </w:r>
      <w:hyperlink w:history="0" r:id="rId62"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73</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 ходе выездной проверки могут совершаться следующие контрольные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инструментальное обследование;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r:id="rId63"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 </w:t>
      </w:r>
      <w:hyperlink w:history="0" r:id="rId64"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и </w:t>
      </w:r>
      <w:hyperlink w:history="0" r:id="rId65"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12 статьи 66</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pPr>
        <w:pStyle w:val="0"/>
        <w:spacing w:before="200" w:line-rule="auto"/>
        <w:ind w:firstLine="540"/>
        <w:jc w:val="both"/>
      </w:pPr>
      <w:r>
        <w:rPr>
          <w:sz w:val="20"/>
        </w:rPr>
        <w:t xml:space="preserve">66.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w:t>
      </w:r>
      <w:hyperlink w:history="0" r:id="rId66"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74</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67. Выездное обследование проводится без взаимодействия с контролируемым лицом и без его информирования в порядке, установленном </w:t>
      </w:r>
      <w:hyperlink w:history="0" r:id="rId67"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75</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инструментальное обследование (с применением видеозаписи);</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pPr>
        <w:pStyle w:val="0"/>
        <w:ind w:firstLine="540"/>
        <w:jc w:val="both"/>
      </w:pPr>
      <w:r>
        <w:rPr>
          <w:sz w:val="20"/>
        </w:rPr>
      </w:r>
    </w:p>
    <w:p>
      <w:pPr>
        <w:pStyle w:val="2"/>
        <w:outlineLvl w:val="1"/>
        <w:jc w:val="center"/>
      </w:pPr>
      <w:r>
        <w:rPr>
          <w:sz w:val="20"/>
        </w:rPr>
        <w:t xml:space="preserve">V. Результаты контрольного мероприятия</w:t>
      </w:r>
    </w:p>
    <w:p>
      <w:pPr>
        <w:pStyle w:val="0"/>
        <w:ind w:firstLine="540"/>
        <w:jc w:val="both"/>
      </w:pPr>
      <w:r>
        <w:rPr>
          <w:sz w:val="20"/>
        </w:rPr>
      </w:r>
    </w:p>
    <w:p>
      <w:pPr>
        <w:pStyle w:val="0"/>
        <w:ind w:firstLine="540"/>
        <w:jc w:val="both"/>
      </w:pPr>
      <w:r>
        <w:rPr>
          <w:sz w:val="20"/>
        </w:rPr>
        <w:t xml:space="preserve">68.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w:history="0" r:id="rId68"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пунктом 2 части 2 статьи 90</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69.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pPr>
        <w:pStyle w:val="0"/>
        <w:jc w:val="both"/>
      </w:pPr>
      <w:r>
        <w:rPr>
          <w:sz w:val="20"/>
        </w:rPr>
        <w:t xml:space="preserve">(п. 69 в ред. </w:t>
      </w:r>
      <w:hyperlink w:history="0" r:id="rId69" w:tooltip="Решение Думы города Пыть-Яха от 15.07.2022 N 94 &quot;О внесении изменений в решение Думы города Пыть-Яха от 30.07.2021 N 415 &quot;Об утверждении Положения о муниципальном земельном контроле в границах города Пыть-Яха&quot; {КонсультантПлюс}">
        <w:r>
          <w:rPr>
            <w:sz w:val="20"/>
            <w:color w:val="0000ff"/>
          </w:rPr>
          <w:t xml:space="preserve">решения</w:t>
        </w:r>
      </w:hyperlink>
      <w:r>
        <w:rPr>
          <w:sz w:val="20"/>
        </w:rPr>
        <w:t xml:space="preserve"> Думы города Пыть-Яха от 15.07.2022 N 94)</w:t>
      </w:r>
    </w:p>
    <w:p>
      <w:pPr>
        <w:pStyle w:val="0"/>
        <w:spacing w:before="200" w:line-rule="auto"/>
        <w:ind w:firstLine="540"/>
        <w:jc w:val="both"/>
      </w:pPr>
      <w:r>
        <w:rPr>
          <w:sz w:val="20"/>
        </w:rPr>
        <w:t xml:space="preserve">70.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(п. 70 в ред. </w:t>
      </w:r>
      <w:hyperlink w:history="0" r:id="rId70" w:tooltip="Решение Думы города Пыть-Яха от 15.07.2022 N 94 &quot;О внесении изменений в решение Думы города Пыть-Яха от 30.07.2021 N 415 &quot;Об утверждении Положения о муниципальном земельном контроле в границах города Пыть-Яха&quot; {КонсультантПлюс}">
        <w:r>
          <w:rPr>
            <w:sz w:val="20"/>
            <w:color w:val="0000ff"/>
          </w:rPr>
          <w:t xml:space="preserve">решения</w:t>
        </w:r>
      </w:hyperlink>
      <w:r>
        <w:rPr>
          <w:sz w:val="20"/>
        </w:rPr>
        <w:t xml:space="preserve"> Думы города Пыть-Яха от 15.07.2022 N 94)</w:t>
      </w:r>
    </w:p>
    <w:p>
      <w:pPr>
        <w:pStyle w:val="0"/>
        <w:spacing w:before="200" w:line-rule="auto"/>
        <w:ind w:firstLine="540"/>
        <w:jc w:val="both"/>
      </w:pPr>
      <w:r>
        <w:rPr>
          <w:sz w:val="20"/>
        </w:rPr>
        <w:t xml:space="preserve">71. Контролируемое лицо или его представитель знакомится с содержанием акта на месте проведения контрольного мероприятия.</w:t>
      </w:r>
    </w:p>
    <w:p>
      <w:pPr>
        <w:pStyle w:val="0"/>
        <w:spacing w:before="200" w:line-rule="auto"/>
        <w:ind w:firstLine="540"/>
        <w:jc w:val="both"/>
      </w:pPr>
      <w:r>
        <w:rPr>
          <w:sz w:val="20"/>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контрольного действия, предусмотренного </w:t>
      </w:r>
      <w:hyperlink w:history="0" r:id="rId71"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пунктом 9 части 1 статьи 65</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контрольный орган направляет акт контролируемому лицу в порядке, установленном </w:t>
      </w:r>
      <w:hyperlink w:history="0" r:id="rId72"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21</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72.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pPr>
        <w:pStyle w:val="0"/>
        <w:spacing w:before="200" w:line-rule="auto"/>
        <w:ind w:firstLine="540"/>
        <w:jc w:val="both"/>
      </w:pPr>
      <w:r>
        <w:rPr>
          <w:sz w:val="20"/>
        </w:rPr>
        <w:t xml:space="preserve">73.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pPr>
        <w:pStyle w:val="0"/>
        <w:spacing w:before="200" w:line-rule="auto"/>
        <w:ind w:firstLine="540"/>
        <w:jc w:val="both"/>
      </w:pPr>
      <w:r>
        <w:rPr>
          <w:sz w:val="20"/>
        </w:rPr>
        <w:t xml:space="preserve">74.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pPr>
        <w:pStyle w:val="0"/>
        <w:spacing w:before="200" w:line-rule="auto"/>
        <w:ind w:firstLine="540"/>
        <w:jc w:val="both"/>
      </w:pPr>
      <w:r>
        <w:rPr>
          <w:sz w:val="20"/>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0"/>
        <w:jc w:val="both"/>
      </w:pPr>
      <w:r>
        <w:rPr>
          <w:sz w:val="20"/>
        </w:rPr>
        <w:t xml:space="preserve">(в ред. </w:t>
      </w:r>
      <w:hyperlink w:history="0" r:id="rId73" w:tooltip="Решение Думы города Пыть-Яха от 15.07.2022 N 94 &quot;О внесении изменений в решение Думы города Пыть-Яха от 30.07.2021 N 415 &quot;Об утверждении Положения о муниципальном земельном контроле в границах города Пыть-Яха&quot; {КонсультантПлюс}">
        <w:r>
          <w:rPr>
            <w:sz w:val="20"/>
            <w:color w:val="0000ff"/>
          </w:rPr>
          <w:t xml:space="preserve">решения</w:t>
        </w:r>
      </w:hyperlink>
      <w:r>
        <w:rPr>
          <w:sz w:val="20"/>
        </w:rPr>
        <w:t xml:space="preserve"> Думы города Пыть-Яха от 15.07.2022 N 94)</w:t>
      </w:r>
    </w:p>
    <w:p>
      <w:pPr>
        <w:pStyle w:val="0"/>
        <w:spacing w:before="200" w:line-rule="auto"/>
        <w:ind w:firstLine="540"/>
        <w:jc w:val="both"/>
      </w:pPr>
      <w:r>
        <w:rPr>
          <w:sz w:val="20"/>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0"/>
        <w:ind w:firstLine="540"/>
        <w:jc w:val="both"/>
      </w:pPr>
      <w:r>
        <w:rPr>
          <w:sz w:val="20"/>
        </w:rPr>
      </w:r>
    </w:p>
    <w:p>
      <w:pPr>
        <w:pStyle w:val="2"/>
        <w:outlineLvl w:val="1"/>
        <w:jc w:val="center"/>
      </w:pPr>
      <w:r>
        <w:rPr>
          <w:sz w:val="20"/>
        </w:rPr>
        <w:t xml:space="preserve">VI. Обжалование решений контрольных органов, действий</w:t>
      </w:r>
    </w:p>
    <w:p>
      <w:pPr>
        <w:pStyle w:val="2"/>
        <w:jc w:val="center"/>
      </w:pPr>
      <w:r>
        <w:rPr>
          <w:sz w:val="20"/>
        </w:rPr>
        <w:t xml:space="preserve">(бездействия) их должностных лиц</w:t>
      </w:r>
    </w:p>
    <w:p>
      <w:pPr>
        <w:pStyle w:val="0"/>
        <w:jc w:val="center"/>
      </w:pPr>
      <w:r>
        <w:rPr>
          <w:sz w:val="20"/>
        </w:rPr>
      </w:r>
    </w:p>
    <w:p>
      <w:pPr>
        <w:pStyle w:val="0"/>
        <w:ind w:firstLine="540"/>
        <w:jc w:val="both"/>
      </w:pPr>
      <w:r>
        <w:rPr>
          <w:sz w:val="20"/>
        </w:rPr>
        <w:t xml:space="preserve">75.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pPr>
        <w:pStyle w:val="0"/>
        <w:spacing w:before="200" w:line-rule="auto"/>
        <w:ind w:firstLine="540"/>
        <w:jc w:val="both"/>
      </w:pPr>
      <w:r>
        <w:rPr>
          <w:sz w:val="20"/>
        </w:rPr>
        <w:t xml:space="preserve">76. Досудебный порядок подачи жалоб, установленный </w:t>
      </w:r>
      <w:hyperlink w:history="0" r:id="rId74"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главой 9</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при осуществлении муниципального земельного контроля не применяется.</w:t>
      </w:r>
    </w:p>
    <w:p>
      <w:pPr>
        <w:pStyle w:val="0"/>
        <w:ind w:firstLine="540"/>
        <w:jc w:val="both"/>
      </w:pPr>
      <w:r>
        <w:rPr>
          <w:sz w:val="20"/>
        </w:rPr>
      </w:r>
    </w:p>
    <w:p>
      <w:pPr>
        <w:pStyle w:val="2"/>
        <w:outlineLvl w:val="1"/>
        <w:jc w:val="center"/>
      </w:pPr>
      <w:r>
        <w:rPr>
          <w:sz w:val="20"/>
        </w:rPr>
        <w:t xml:space="preserve">VII. Оценка результативности и эффективности деятельности</w:t>
      </w:r>
    </w:p>
    <w:p>
      <w:pPr>
        <w:pStyle w:val="2"/>
        <w:jc w:val="center"/>
      </w:pPr>
      <w:r>
        <w:rPr>
          <w:sz w:val="20"/>
        </w:rPr>
        <w:t xml:space="preserve">контрольного органа при осуществлении муниципального</w:t>
      </w:r>
    </w:p>
    <w:p>
      <w:pPr>
        <w:pStyle w:val="2"/>
        <w:jc w:val="center"/>
      </w:pPr>
      <w:r>
        <w:rPr>
          <w:sz w:val="20"/>
        </w:rPr>
        <w:t xml:space="preserve">земельного контроля</w:t>
      </w:r>
    </w:p>
    <w:p>
      <w:pPr>
        <w:pStyle w:val="0"/>
        <w:ind w:firstLine="540"/>
        <w:jc w:val="both"/>
      </w:pPr>
      <w:r>
        <w:rPr>
          <w:sz w:val="20"/>
        </w:rPr>
      </w:r>
    </w:p>
    <w:p>
      <w:pPr>
        <w:pStyle w:val="0"/>
        <w:ind w:firstLine="540"/>
        <w:jc w:val="both"/>
      </w:pPr>
      <w:r>
        <w:rPr>
          <w:sz w:val="20"/>
        </w:rPr>
        <w:t xml:space="preserve">77. Оценка результативности и эффективности осуществления муниципального контроля осуществляется на основании </w:t>
      </w:r>
      <w:hyperlink w:history="0" r:id="rId75"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статьи 30</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78. Ключевые показатели вида контроля и их целевые значения, индикативные показатели для муниципального земельного контроля утверждаются представительным органом муниципального образования городской округ Пыть-Ях.</w:t>
      </w:r>
    </w:p>
    <w:p>
      <w:pPr>
        <w:pStyle w:val="0"/>
        <w:ind w:firstLine="540"/>
        <w:jc w:val="both"/>
      </w:pPr>
      <w:r>
        <w:rPr>
          <w:sz w:val="20"/>
        </w:rPr>
      </w:r>
    </w:p>
    <w:p>
      <w:pPr>
        <w:pStyle w:val="2"/>
        <w:outlineLvl w:val="1"/>
        <w:jc w:val="center"/>
      </w:pPr>
      <w:r>
        <w:rPr>
          <w:sz w:val="20"/>
        </w:rPr>
        <w:t xml:space="preserve">VIII. Заключительные положения</w:t>
      </w:r>
    </w:p>
    <w:p>
      <w:pPr>
        <w:pStyle w:val="0"/>
        <w:jc w:val="center"/>
      </w:pPr>
      <w:r>
        <w:rPr>
          <w:sz w:val="20"/>
        </w:rPr>
      </w:r>
    </w:p>
    <w:p>
      <w:pPr>
        <w:pStyle w:val="0"/>
        <w:ind w:firstLine="540"/>
        <w:jc w:val="both"/>
      </w:pPr>
      <w:r>
        <w:rPr>
          <w:sz w:val="20"/>
        </w:rPr>
        <w:t xml:space="preserve">79. До 31 декабря 2023 года подготовка контрольным 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w:t>
      </w:r>
    </w:p>
    <w:p>
      <w:pPr>
        <w:pStyle w:val="0"/>
        <w:jc w:val="right"/>
      </w:pPr>
      <w:r>
        <w:rPr>
          <w:sz w:val="20"/>
        </w:rPr>
        <w:t xml:space="preserve">к Положению</w:t>
      </w:r>
    </w:p>
    <w:p>
      <w:pPr>
        <w:pStyle w:val="0"/>
        <w:jc w:val="right"/>
      </w:pPr>
      <w:r>
        <w:rPr>
          <w:sz w:val="20"/>
        </w:rPr>
        <w:t xml:space="preserve">о муниципальном земельном контроле</w:t>
      </w:r>
    </w:p>
    <w:p>
      <w:pPr>
        <w:pStyle w:val="0"/>
        <w:jc w:val="right"/>
      </w:pPr>
      <w:r>
        <w:rPr>
          <w:sz w:val="20"/>
        </w:rPr>
        <w:t xml:space="preserve">в границах города Пыть-Яха</w:t>
      </w:r>
    </w:p>
    <w:p>
      <w:pPr>
        <w:pStyle w:val="0"/>
        <w:jc w:val="center"/>
      </w:pPr>
      <w:r>
        <w:rPr>
          <w:sz w:val="20"/>
        </w:rPr>
      </w:r>
    </w:p>
    <w:bookmarkStart w:id="340" w:name="P340"/>
    <w:bookmarkEnd w:id="340"/>
    <w:p>
      <w:pPr>
        <w:pStyle w:val="2"/>
        <w:jc w:val="center"/>
      </w:pPr>
      <w:r>
        <w:rPr>
          <w:sz w:val="20"/>
        </w:rPr>
        <w:t xml:space="preserve">КРИТЕРИИ</w:t>
      </w:r>
    </w:p>
    <w:p>
      <w:pPr>
        <w:pStyle w:val="2"/>
        <w:jc w:val="center"/>
      </w:pPr>
      <w:r>
        <w:rPr>
          <w:sz w:val="20"/>
        </w:rPr>
        <w:t xml:space="preserve">ОТНЕСЕНИЯ ОБЪЕКТОВ К КАТЕГОРИЯМ РИСКА В РАМКАХ ОСУЩЕСТВЛЕНИЯ</w:t>
      </w:r>
    </w:p>
    <w:p>
      <w:pPr>
        <w:pStyle w:val="2"/>
        <w:jc w:val="center"/>
      </w:pPr>
      <w:r>
        <w:rPr>
          <w:sz w:val="20"/>
        </w:rPr>
        <w:t xml:space="preserve">МУНИЦИПАЛЬНОГО ЗЕМЕЛЬНОГО КОНТРОЛЯ В ГРАНИЦАХ ГОРОДА</w:t>
      </w:r>
    </w:p>
    <w:p>
      <w:pPr>
        <w:pStyle w:val="2"/>
        <w:jc w:val="center"/>
      </w:pPr>
      <w:r>
        <w:rPr>
          <w:sz w:val="20"/>
        </w:rPr>
        <w:t xml:space="preserve">ПЫТЬ-ЯХА</w:t>
      </w:r>
    </w:p>
    <w:p>
      <w:pPr>
        <w:pStyle w:val="0"/>
        <w:ind w:firstLine="540"/>
        <w:jc w:val="both"/>
      </w:pPr>
      <w:r>
        <w:rPr>
          <w:sz w:val="20"/>
        </w:rPr>
      </w:r>
    </w:p>
    <w:p>
      <w:pPr>
        <w:pStyle w:val="0"/>
        <w:ind w:firstLine="540"/>
        <w:jc w:val="both"/>
      </w:pPr>
      <w:r>
        <w:rPr>
          <w:sz w:val="20"/>
        </w:rPr>
        <w:t xml:space="preserve">1. С учетом вероятности наступления и тяжести потенциальных негативных последствий несоблюдения обязательных требований объекты муниципального земельного контроля подлежат отнесению к категориям среднего, умеренного и низкого риска.</w:t>
      </w:r>
    </w:p>
    <w:bookmarkStart w:id="346" w:name="P346"/>
    <w:bookmarkEnd w:id="346"/>
    <w:p>
      <w:pPr>
        <w:pStyle w:val="0"/>
        <w:spacing w:before="200" w:line-rule="auto"/>
        <w:ind w:firstLine="540"/>
        <w:jc w:val="both"/>
      </w:pPr>
      <w:r>
        <w:rPr>
          <w:sz w:val="20"/>
        </w:rPr>
        <w:t xml:space="preserve">2. К категории среднего риска относятся объекты контроля:</w:t>
      </w:r>
    </w:p>
    <w:p>
      <w:pPr>
        <w:pStyle w:val="0"/>
        <w:spacing w:before="200" w:line-rule="auto"/>
        <w:ind w:firstLine="540"/>
        <w:jc w:val="both"/>
      </w:pPr>
      <w:r>
        <w:rPr>
          <w:sz w:val="20"/>
        </w:rPr>
        <w:t xml:space="preserve">а) предназначенные для захоронения и размещения твердых бытовых отходов, размещения кладбищ, и примыкающие к ним земельные участки;</w:t>
      </w:r>
    </w:p>
    <w:p>
      <w:pPr>
        <w:pStyle w:val="0"/>
        <w:spacing w:before="200" w:line-rule="auto"/>
        <w:ind w:firstLine="540"/>
        <w:jc w:val="both"/>
      </w:pPr>
      <w:r>
        <w:rPr>
          <w:sz w:val="20"/>
        </w:rPr>
        <w:t xml:space="preserve">б) предназначенные для гаражного и (или) жилищного строительства.</w:t>
      </w:r>
    </w:p>
    <w:bookmarkStart w:id="349" w:name="P349"/>
    <w:bookmarkEnd w:id="349"/>
    <w:p>
      <w:pPr>
        <w:pStyle w:val="0"/>
        <w:spacing w:before="200" w:line-rule="auto"/>
        <w:ind w:firstLine="540"/>
        <w:jc w:val="both"/>
      </w:pPr>
      <w:r>
        <w:rPr>
          <w:sz w:val="20"/>
        </w:rPr>
        <w:t xml:space="preserve">3. К категории умеренного риска относятся объекты контроля:</w:t>
      </w:r>
    </w:p>
    <w:p>
      <w:pPr>
        <w:pStyle w:val="0"/>
        <w:spacing w:before="200" w:line-rule="auto"/>
        <w:ind w:firstLine="540"/>
        <w:jc w:val="both"/>
      </w:pPr>
      <w:r>
        <w:rPr>
          <w:sz w:val="20"/>
        </w:rPr>
        <w:t xml:space="preserve">а) граничащие с землями и (или) земельными участками, относящимися к категории земель лесного фонда, земель особо охраняемых территорий и объектов, а также земель запаса;</w:t>
      </w:r>
    </w:p>
    <w:p>
      <w:pPr>
        <w:pStyle w:val="0"/>
        <w:spacing w:before="200" w:line-rule="auto"/>
        <w:ind w:firstLine="540"/>
        <w:jc w:val="both"/>
      </w:pPr>
      <w:r>
        <w:rPr>
          <w:sz w:val="20"/>
        </w:rPr>
        <w:t xml:space="preserve">б)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w:t>
      </w:r>
    </w:p>
    <w:p>
      <w:pPr>
        <w:pStyle w:val="0"/>
        <w:spacing w:before="200" w:line-rule="auto"/>
        <w:ind w:firstLine="540"/>
        <w:jc w:val="both"/>
      </w:pPr>
      <w:r>
        <w:rPr>
          <w:sz w:val="20"/>
        </w:rPr>
        <w:t xml:space="preserve">в)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 граничащие с землями и (или) земельными участками, относящимися к категории земель сельскохозяйственного назначения;</w:t>
      </w:r>
    </w:p>
    <w:p>
      <w:pPr>
        <w:pStyle w:val="0"/>
        <w:spacing w:before="200" w:line-rule="auto"/>
        <w:ind w:firstLine="540"/>
        <w:jc w:val="both"/>
      </w:pPr>
      <w:r>
        <w:rPr>
          <w:sz w:val="20"/>
        </w:rPr>
        <w:t xml:space="preserve">г)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bookmarkStart w:id="354" w:name="P354"/>
    <w:bookmarkEnd w:id="354"/>
    <w:p>
      <w:pPr>
        <w:pStyle w:val="0"/>
        <w:spacing w:before="200" w:line-rule="auto"/>
        <w:ind w:firstLine="540"/>
        <w:jc w:val="both"/>
      </w:pPr>
      <w:r>
        <w:rPr>
          <w:sz w:val="20"/>
        </w:rPr>
        <w:t xml:space="preserve">4. К категории низкого риска относятся объекты контроля, не предусмотренные </w:t>
      </w:r>
      <w:hyperlink w:history="0" w:anchor="P346" w:tooltip="2. К категории среднего риска относятся объекты контроля:">
        <w:r>
          <w:rPr>
            <w:sz w:val="20"/>
            <w:color w:val="0000ff"/>
          </w:rPr>
          <w:t xml:space="preserve">пунктами 2</w:t>
        </w:r>
      </w:hyperlink>
      <w:r>
        <w:rPr>
          <w:sz w:val="20"/>
        </w:rPr>
        <w:t xml:space="preserve"> и </w:t>
      </w:r>
      <w:hyperlink w:history="0" w:anchor="P349" w:tooltip="3. К категории умеренного риска относятся объекты контроля:">
        <w:r>
          <w:rPr>
            <w:sz w:val="20"/>
            <w:color w:val="0000ff"/>
          </w:rPr>
          <w:t xml:space="preserve">3</w:t>
        </w:r>
      </w:hyperlink>
      <w:r>
        <w:rPr>
          <w:sz w:val="20"/>
        </w:rPr>
        <w:t xml:space="preserve"> настоящих Критериев.</w:t>
      </w:r>
    </w:p>
    <w:p>
      <w:pPr>
        <w:pStyle w:val="0"/>
        <w:spacing w:before="200" w:line-rule="auto"/>
        <w:ind w:firstLine="540"/>
        <w:jc w:val="both"/>
      </w:pPr>
      <w:r>
        <w:rPr>
          <w:sz w:val="20"/>
        </w:rPr>
        <w:t xml:space="preserve">5. С учетом вероятности нарушения обязательных требований объекты контроля, предусмотренные </w:t>
      </w:r>
      <w:hyperlink w:history="0" w:anchor="P354" w:tooltip="4. К категории низкого риска относятся объекты контроля, не предусмотренные пунктами 2 и 3 настоящих Критериев.">
        <w:r>
          <w:rPr>
            <w:sz w:val="20"/>
            <w:color w:val="0000ff"/>
          </w:rPr>
          <w:t xml:space="preserve">пунктом 4</w:t>
        </w:r>
      </w:hyperlink>
      <w:r>
        <w:rPr>
          <w:sz w:val="20"/>
        </w:rPr>
        <w:t xml:space="preserve"> настоящих Критериев и подлежащие отнесению к категории низкого риска, подлежат отнесению к категориям умеренного риска при наличии вступивших в законную силу в течение последних 3 лет на дату принятия (изменения) решения об отнесении объекта муниципального земельного контроля к категории низкого риска двух и более постановлений (решений) по делу об административном правонарушении с назначением административного наказания, связанных с:</w:t>
      </w:r>
    </w:p>
    <w:p>
      <w:pPr>
        <w:pStyle w:val="0"/>
        <w:spacing w:before="200" w:line-rule="auto"/>
        <w:ind w:firstLine="540"/>
        <w:jc w:val="both"/>
      </w:pPr>
      <w:r>
        <w:rPr>
          <w:sz w:val="20"/>
        </w:rPr>
        <w:t xml:space="preserve">а) нарушением обязательных требований земельного законодательства, ответственность за которое предусмотрена </w:t>
      </w:r>
      <w:hyperlink w:history="0" r:id="rId76" w:tooltip="&quot;Кодекс Российской Федерации об административных правонарушениях&quot; от 30.12.2001 N 195-ФЗ (ред. от 08.08.2024) {КонсультантПлюс}">
        <w:r>
          <w:rPr>
            <w:sz w:val="20"/>
            <w:color w:val="0000ff"/>
          </w:rPr>
          <w:t xml:space="preserve">статьями 7.1</w:t>
        </w:r>
      </w:hyperlink>
      <w:r>
        <w:rPr>
          <w:sz w:val="20"/>
        </w:rPr>
        <w:t xml:space="preserve">, </w:t>
      </w:r>
      <w:hyperlink w:history="0" r:id="rId77" w:tooltip="&quot;Кодекс Российской Федерации об административных правонарушениях&quot; от 30.12.2001 N 195-ФЗ (ред. от 08.08.2024) {КонсультантПлюс}">
        <w:r>
          <w:rPr>
            <w:sz w:val="20"/>
            <w:color w:val="0000ff"/>
          </w:rPr>
          <w:t xml:space="preserve">8.8</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w:t>
      </w:r>
      <w:hyperlink w:history="0" r:id="rId78" w:tooltip="&quot;Кодекс Российской Федерации об административных правонарушениях&quot; от 30.12.2001 N 195-ФЗ (ред. от 08.08.2024) {КонсультантПлюс}">
        <w:r>
          <w:rPr>
            <w:sz w:val="20"/>
            <w:color w:val="0000ff"/>
          </w:rPr>
          <w:t xml:space="preserve">статьей 19.4.1</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в) невыполнением в срок законного предписания об устранении нарушений земельного законодательства, ответственность за которое предусмотрена </w:t>
      </w:r>
      <w:hyperlink w:history="0" r:id="rId79" w:tooltip="&quot;Кодекс Российской Федерации об административных правонарушениях&quot; от 30.12.2001 N 195-ФЗ (ред. от 08.08.2024) {КонсультантПлюс}">
        <w:r>
          <w:rPr>
            <w:sz w:val="20"/>
            <w:color w:val="0000ff"/>
          </w:rPr>
          <w:t xml:space="preserve">статьей 19.5</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6. С учетом вероятности нарушения обязательных требований объекты контроля, предусмотренные </w:t>
      </w:r>
      <w:hyperlink w:history="0" w:anchor="P349" w:tooltip="3. К категории умеренного риска относятся объекты контроля:">
        <w:r>
          <w:rPr>
            <w:sz w:val="20"/>
            <w:color w:val="0000ff"/>
          </w:rPr>
          <w:t xml:space="preserve">пунктом 3</w:t>
        </w:r>
      </w:hyperlink>
      <w:r>
        <w:rPr>
          <w:sz w:val="20"/>
        </w:rPr>
        <w:t xml:space="preserve"> настоящих Критериев и подлежащие отнесению к категории умеренного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земельного контроля к категории среднего риска двух и более постановлений (решений) по делу об административном правонарушении с назначением административного наказания, связанных с:</w:t>
      </w:r>
    </w:p>
    <w:p>
      <w:pPr>
        <w:pStyle w:val="0"/>
        <w:spacing w:before="200" w:line-rule="auto"/>
        <w:ind w:firstLine="540"/>
        <w:jc w:val="both"/>
      </w:pPr>
      <w:r>
        <w:rPr>
          <w:sz w:val="20"/>
        </w:rPr>
        <w:t xml:space="preserve">а) нарушением обязательных требований земельного законодательства, ответственность за которое предусмотрена </w:t>
      </w:r>
      <w:hyperlink w:history="0" r:id="rId80" w:tooltip="&quot;Кодекс Российской Федерации об административных правонарушениях&quot; от 30.12.2001 N 195-ФЗ (ред. от 08.08.2024) {КонсультантПлюс}">
        <w:r>
          <w:rPr>
            <w:sz w:val="20"/>
            <w:color w:val="0000ff"/>
          </w:rPr>
          <w:t xml:space="preserve">статьями 7.1</w:t>
        </w:r>
      </w:hyperlink>
      <w:r>
        <w:rPr>
          <w:sz w:val="20"/>
        </w:rPr>
        <w:t xml:space="preserve">, </w:t>
      </w:r>
      <w:hyperlink w:history="0" r:id="rId81" w:tooltip="&quot;Кодекс Российской Федерации об административных правонарушениях&quot; от 30.12.2001 N 195-ФЗ (ред. от 08.08.2024) {КонсультантПлюс}">
        <w:r>
          <w:rPr>
            <w:sz w:val="20"/>
            <w:color w:val="0000ff"/>
          </w:rPr>
          <w:t xml:space="preserve">8.8</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w:t>
      </w:r>
      <w:hyperlink w:history="0" r:id="rId82" w:tooltip="&quot;Кодекс Российской Федерации об административных правонарушениях&quot; от 30.12.2001 N 195-ФЗ (ред. от 08.08.2024) {КонсультантПлюс}">
        <w:r>
          <w:rPr>
            <w:sz w:val="20"/>
            <w:color w:val="0000ff"/>
          </w:rPr>
          <w:t xml:space="preserve">статьей 19.4.1</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в) невыполнением в срок законного предписания об устранении нарушений земельного законодательства, ответственность за которое предусмотрена </w:t>
      </w:r>
      <w:hyperlink w:history="0" r:id="rId83" w:tooltip="&quot;Кодекс Российской Федерации об административных правонарушениях&quot; от 30.12.2001 N 195-ФЗ (ред. от 08.08.2024) {КонсультантПлюс}">
        <w:r>
          <w:rPr>
            <w:sz w:val="20"/>
            <w:color w:val="0000ff"/>
          </w:rPr>
          <w:t xml:space="preserve">статьей 19.5</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7. Объекты муниципального земельного контроля, подлежащие, в соответствии с </w:t>
      </w:r>
      <w:hyperlink w:history="0" w:anchor="P346" w:tooltip="2. К категории среднего риска относятся объекты контроля:">
        <w:r>
          <w:rPr>
            <w:sz w:val="20"/>
            <w:color w:val="0000ff"/>
          </w:rPr>
          <w:t xml:space="preserve">пунктом 2</w:t>
        </w:r>
      </w:hyperlink>
      <w:r>
        <w:rPr>
          <w:sz w:val="20"/>
        </w:rPr>
        <w:t xml:space="preserve"> настоящих Критериев, отнесению к категории среднего риска, подлежат отнесению к категории умеренного риска при отсутствии постановления о назначении административного наказания, предусмотренного </w:t>
      </w:r>
      <w:hyperlink w:history="0" r:id="rId84" w:tooltip="&quot;Кодекс Российской Федерации об административных правонарушениях&quot; от 30.12.2001 N 195-ФЗ (ред. от 08.08.2024) {КонсультантПлюс}">
        <w:r>
          <w:rPr>
            <w:sz w:val="20"/>
            <w:color w:val="0000ff"/>
          </w:rPr>
          <w:t xml:space="preserve">статьями 7.1</w:t>
        </w:r>
      </w:hyperlink>
      <w:r>
        <w:rPr>
          <w:sz w:val="20"/>
        </w:rPr>
        <w:t xml:space="preserve">, </w:t>
      </w:r>
      <w:hyperlink w:history="0" r:id="rId85" w:tooltip="&quot;Кодекс Российской Федерации об административных правонарушениях&quot; от 30.12.2001 N 195-ФЗ (ред. от 08.08.2024) {КонсультантПлюс}">
        <w:r>
          <w:rPr>
            <w:sz w:val="20"/>
            <w:color w:val="0000ff"/>
          </w:rPr>
          <w:t xml:space="preserve">8.8</w:t>
        </w:r>
      </w:hyperlink>
      <w:r>
        <w:rPr>
          <w:sz w:val="20"/>
        </w:rPr>
        <w:t xml:space="preserve"> Кодекса Российской Федерации об административных правонарушениях, а также в случае отсутствия при проведении последней плановой проверки нарушений обязательных требований земельного законодательства.</w:t>
      </w:r>
    </w:p>
    <w:p>
      <w:pPr>
        <w:pStyle w:val="0"/>
        <w:spacing w:before="200" w:line-rule="auto"/>
        <w:ind w:firstLine="540"/>
        <w:jc w:val="both"/>
      </w:pPr>
      <w:r>
        <w:rPr>
          <w:sz w:val="20"/>
        </w:rPr>
        <w:t xml:space="preserve">8. Объекты муниципального земельного контроля, подлежащие, в соответствии с </w:t>
      </w:r>
      <w:hyperlink w:history="0" w:anchor="P349" w:tooltip="3. К категории умеренного риска относятся объекты контроля:">
        <w:r>
          <w:rPr>
            <w:sz w:val="20"/>
            <w:color w:val="0000ff"/>
          </w:rPr>
          <w:t xml:space="preserve">пунктом 3</w:t>
        </w:r>
      </w:hyperlink>
      <w:r>
        <w:rPr>
          <w:sz w:val="20"/>
        </w:rPr>
        <w:t xml:space="preserve"> настоящих Критериев, отнесению к категории умеренного риска, подлежат отнесению к категории низкого риска при отсутствии постановления о назначении административного наказания, предусмотренного </w:t>
      </w:r>
      <w:hyperlink w:history="0" r:id="rId86" w:tooltip="&quot;Кодекс Российской Федерации об административных правонарушениях&quot; от 30.12.2001 N 195-ФЗ (ред. от 08.08.2024) {КонсультантПлюс}">
        <w:r>
          <w:rPr>
            <w:sz w:val="20"/>
            <w:color w:val="0000ff"/>
          </w:rPr>
          <w:t xml:space="preserve">статьями 7.1</w:t>
        </w:r>
      </w:hyperlink>
      <w:r>
        <w:rPr>
          <w:sz w:val="20"/>
        </w:rPr>
        <w:t xml:space="preserve">, </w:t>
      </w:r>
      <w:hyperlink w:history="0" r:id="rId87" w:tooltip="&quot;Кодекс Российской Федерации об административных правонарушениях&quot; от 30.12.2001 N 195-ФЗ (ред. от 08.08.2024) {КонсультантПлюс}">
        <w:r>
          <w:rPr>
            <w:sz w:val="20"/>
            <w:color w:val="0000ff"/>
          </w:rPr>
          <w:t xml:space="preserve">8.8</w:t>
        </w:r>
      </w:hyperlink>
      <w:r>
        <w:rPr>
          <w:sz w:val="20"/>
        </w:rPr>
        <w:t xml:space="preserve"> Кодекса Российской Федерации об административных правонарушениях, а также в случае отсутствия при проведении последней плановой проверки нарушений обязательных требований земельного законодательства.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Думы города Пыть-Яха от 30.07.2021 N 415</w:t>
            <w:br/>
            <w:t>(ред. от 11.12.2023)</w:t>
            <w:br/>
            <w:t>"Об утверждении Положения о муниципальном земельно...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26&amp;n=260115&amp;dst=100005" TargetMode = "External"/>
	<Relationship Id="rId8" Type="http://schemas.openxmlformats.org/officeDocument/2006/relationships/hyperlink" Target="https://login.consultant.ru/link/?req=doc&amp;base=RLAW926&amp;n=293619&amp;dst=100005" TargetMode = "External"/>
	<Relationship Id="rId9" Type="http://schemas.openxmlformats.org/officeDocument/2006/relationships/hyperlink" Target="https://login.consultant.ru/link/?req=doc&amp;base=LAW&amp;n=482897&amp;dst=2355" TargetMode = "External"/>
	<Relationship Id="rId10" Type="http://schemas.openxmlformats.org/officeDocument/2006/relationships/hyperlink" Target="https://login.consultant.ru/link/?req=doc&amp;base=LAW&amp;n=482844&amp;dst=100088" TargetMode = "External"/>
	<Relationship Id="rId11" Type="http://schemas.openxmlformats.org/officeDocument/2006/relationships/hyperlink" Target="https://login.consultant.ru/link/?req=doc&amp;base=LAW&amp;n=483062&amp;dst=892" TargetMode = "External"/>
	<Relationship Id="rId12" Type="http://schemas.openxmlformats.org/officeDocument/2006/relationships/hyperlink" Target="https://login.consultant.ru/link/?req=doc&amp;base=RLAW926&amp;n=302620&amp;dst=100862" TargetMode = "External"/>
	<Relationship Id="rId13" Type="http://schemas.openxmlformats.org/officeDocument/2006/relationships/hyperlink" Target="https://login.consultant.ru/link/?req=doc&amp;base=RLAW926&amp;n=267729" TargetMode = "External"/>
	<Relationship Id="rId14" Type="http://schemas.openxmlformats.org/officeDocument/2006/relationships/hyperlink" Target="https://login.consultant.ru/link/?req=doc&amp;base=RLAW926&amp;n=260115&amp;dst=100005" TargetMode = "External"/>
	<Relationship Id="rId15" Type="http://schemas.openxmlformats.org/officeDocument/2006/relationships/hyperlink" Target="https://login.consultant.ru/link/?req=doc&amp;base=RLAW926&amp;n=293619&amp;dst=100005" TargetMode = "External"/>
	<Relationship Id="rId16" Type="http://schemas.openxmlformats.org/officeDocument/2006/relationships/hyperlink" Target="https://login.consultant.ru/link/?req=doc&amp;base=LAW&amp;n=482844" TargetMode = "External"/>
	<Relationship Id="rId17" Type="http://schemas.openxmlformats.org/officeDocument/2006/relationships/hyperlink" Target="https://login.consultant.ru/link/?req=doc&amp;base=LAW&amp;n=482844&amp;dst=100354" TargetMode = "External"/>
	<Relationship Id="rId18" Type="http://schemas.openxmlformats.org/officeDocument/2006/relationships/hyperlink" Target="https://login.consultant.ru/link/?req=doc&amp;base=LAW&amp;n=482844" TargetMode = "External"/>
	<Relationship Id="rId19" Type="http://schemas.openxmlformats.org/officeDocument/2006/relationships/hyperlink" Target="https://login.consultant.ru/link/?req=doc&amp;base=LAW&amp;n=482844&amp;dst=100512" TargetMode = "External"/>
	<Relationship Id="rId20" Type="http://schemas.openxmlformats.org/officeDocument/2006/relationships/hyperlink" Target="https://login.consultant.ru/link/?req=doc&amp;base=RLAW926&amp;n=260115&amp;dst=100006" TargetMode = "External"/>
	<Relationship Id="rId21" Type="http://schemas.openxmlformats.org/officeDocument/2006/relationships/hyperlink" Target="https://login.consultant.ru/link/?req=doc&amp;base=LAW&amp;n=454103" TargetMode = "External"/>
	<Relationship Id="rId22" Type="http://schemas.openxmlformats.org/officeDocument/2006/relationships/hyperlink" Target="https://login.consultant.ru/link/?req=doc&amp;base=LAW&amp;n=481186&amp;dst=100102" TargetMode = "External"/>
	<Relationship Id="rId23" Type="http://schemas.openxmlformats.org/officeDocument/2006/relationships/hyperlink" Target="https://login.consultant.ru/link/?req=doc&amp;base=LAW&amp;n=481186&amp;dst=100110" TargetMode = "External"/>
	<Relationship Id="rId24" Type="http://schemas.openxmlformats.org/officeDocument/2006/relationships/hyperlink" Target="https://login.consultant.ru/link/?req=doc&amp;base=RLAW926&amp;n=293619&amp;dst=100006" TargetMode = "External"/>
	<Relationship Id="rId25" Type="http://schemas.openxmlformats.org/officeDocument/2006/relationships/hyperlink" Target="https://login.consultant.ru/link/?req=doc&amp;base=RLAW926&amp;n=260115&amp;dst=100007" TargetMode = "External"/>
	<Relationship Id="rId26" Type="http://schemas.openxmlformats.org/officeDocument/2006/relationships/hyperlink" Target="https://login.consultant.ru/link/?req=doc&amp;base=RLAW926&amp;n=293619&amp;dst=100008" TargetMode = "External"/>
	<Relationship Id="rId27" Type="http://schemas.openxmlformats.org/officeDocument/2006/relationships/hyperlink" Target="https://login.consultant.ru/link/?req=doc&amp;base=RLAW926&amp;n=293619&amp;dst=100010" TargetMode = "External"/>
	<Relationship Id="rId28" Type="http://schemas.openxmlformats.org/officeDocument/2006/relationships/hyperlink" Target="https://login.consultant.ru/link/?req=doc&amp;base=RLAW926&amp;n=293619&amp;dst=100011" TargetMode = "External"/>
	<Relationship Id="rId29" Type="http://schemas.openxmlformats.org/officeDocument/2006/relationships/hyperlink" Target="https://login.consultant.ru/link/?req=doc&amp;base=RLAW926&amp;n=293619&amp;dst=100016" TargetMode = "External"/>
	<Relationship Id="rId30" Type="http://schemas.openxmlformats.org/officeDocument/2006/relationships/hyperlink" Target="https://login.consultant.ru/link/?req=doc&amp;base=LAW&amp;n=482844&amp;dst=101176" TargetMode = "External"/>
	<Relationship Id="rId31" Type="http://schemas.openxmlformats.org/officeDocument/2006/relationships/hyperlink" Target="https://login.consultant.ru/link/?req=doc&amp;base=LAW&amp;n=482844&amp;dst=100329" TargetMode = "External"/>
	<Relationship Id="rId32" Type="http://schemas.openxmlformats.org/officeDocument/2006/relationships/hyperlink" Target="https://login.consultant.ru/link/?req=doc&amp;base=RLAW926&amp;n=260115&amp;dst=100009" TargetMode = "External"/>
	<Relationship Id="rId33" Type="http://schemas.openxmlformats.org/officeDocument/2006/relationships/hyperlink" Target="https://login.consultant.ru/link/?req=doc&amp;base=RLAW926&amp;n=260115&amp;dst=100029" TargetMode = "External"/>
	<Relationship Id="rId34" Type="http://schemas.openxmlformats.org/officeDocument/2006/relationships/hyperlink" Target="https://login.consultant.ru/link/?req=doc&amp;base=LAW&amp;n=482844&amp;dst=100365" TargetMode = "External"/>
	<Relationship Id="rId35" Type="http://schemas.openxmlformats.org/officeDocument/2006/relationships/hyperlink" Target="https://login.consultant.ru/link/?req=doc&amp;base=LAW&amp;n=482844&amp;dst=100370" TargetMode = "External"/>
	<Relationship Id="rId36" Type="http://schemas.openxmlformats.org/officeDocument/2006/relationships/hyperlink" Target="https://login.consultant.ru/link/?req=doc&amp;base=LAW&amp;n=482844&amp;dst=100384" TargetMode = "External"/>
	<Relationship Id="rId37" Type="http://schemas.openxmlformats.org/officeDocument/2006/relationships/hyperlink" Target="https://login.consultant.ru/link/?req=doc&amp;base=LAW&amp;n=482844&amp;dst=101127" TargetMode = "External"/>
	<Relationship Id="rId38" Type="http://schemas.openxmlformats.org/officeDocument/2006/relationships/hyperlink" Target="https://login.consultant.ru/link/?req=doc&amp;base=LAW&amp;n=482844&amp;dst=101128" TargetMode = "External"/>
	<Relationship Id="rId39" Type="http://schemas.openxmlformats.org/officeDocument/2006/relationships/hyperlink" Target="https://login.consultant.ru/link/?req=doc&amp;base=LAW&amp;n=482844&amp;dst=100364" TargetMode = "External"/>
	<Relationship Id="rId40" Type="http://schemas.openxmlformats.org/officeDocument/2006/relationships/hyperlink" Target="https://login.consultant.ru/link/?req=doc&amp;base=RLAW926&amp;n=260115&amp;dst=100031" TargetMode = "External"/>
	<Relationship Id="rId41" Type="http://schemas.openxmlformats.org/officeDocument/2006/relationships/hyperlink" Target="https://login.consultant.ru/link/?req=doc&amp;base=RLAW926&amp;n=260115&amp;dst=100031" TargetMode = "External"/>
	<Relationship Id="rId42" Type="http://schemas.openxmlformats.org/officeDocument/2006/relationships/hyperlink" Target="https://login.consultant.ru/link/?req=doc&amp;base=RLAW926&amp;n=260115&amp;dst=100031" TargetMode = "External"/>
	<Relationship Id="rId43" Type="http://schemas.openxmlformats.org/officeDocument/2006/relationships/hyperlink" Target="https://login.consultant.ru/link/?req=doc&amp;base=LAW&amp;n=481192&amp;dst=100015" TargetMode = "External"/>
	<Relationship Id="rId44" Type="http://schemas.openxmlformats.org/officeDocument/2006/relationships/hyperlink" Target="https://login.consultant.ru/link/?req=doc&amp;base=RLAW926&amp;n=260115&amp;dst=100032" TargetMode = "External"/>
	<Relationship Id="rId45" Type="http://schemas.openxmlformats.org/officeDocument/2006/relationships/hyperlink" Target="https://login.consultant.ru/link/?req=doc&amp;base=LAW&amp;n=477169" TargetMode = "External"/>
	<Relationship Id="rId46" Type="http://schemas.openxmlformats.org/officeDocument/2006/relationships/hyperlink" Target="https://login.consultant.ru/link/?req=doc&amp;base=LAW&amp;n=482844&amp;dst=100634" TargetMode = "External"/>
	<Relationship Id="rId47" Type="http://schemas.openxmlformats.org/officeDocument/2006/relationships/hyperlink" Target="https://login.consultant.ru/link/?req=doc&amp;base=LAW&amp;n=482844&amp;dst=100636" TargetMode = "External"/>
	<Relationship Id="rId48" Type="http://schemas.openxmlformats.org/officeDocument/2006/relationships/hyperlink" Target="https://login.consultant.ru/link/?req=doc&amp;base=LAW&amp;n=482844&amp;dst=100638" TargetMode = "External"/>
	<Relationship Id="rId49" Type="http://schemas.openxmlformats.org/officeDocument/2006/relationships/hyperlink" Target="https://login.consultant.ru/link/?req=doc&amp;base=RLAW926&amp;n=260115&amp;dst=100033" TargetMode = "External"/>
	<Relationship Id="rId50" Type="http://schemas.openxmlformats.org/officeDocument/2006/relationships/hyperlink" Target="https://login.consultant.ru/link/?req=doc&amp;base=RLAW926&amp;n=260115&amp;dst=100035" TargetMode = "External"/>
	<Relationship Id="rId51" Type="http://schemas.openxmlformats.org/officeDocument/2006/relationships/hyperlink" Target="https://login.consultant.ru/link/?req=doc&amp;base=RLAW926&amp;n=260115&amp;dst=100035" TargetMode = "External"/>
	<Relationship Id="rId52" Type="http://schemas.openxmlformats.org/officeDocument/2006/relationships/hyperlink" Target="https://login.consultant.ru/link/?req=doc&amp;base=LAW&amp;n=482844&amp;dst=100813" TargetMode = "External"/>
	<Relationship Id="rId53" Type="http://schemas.openxmlformats.org/officeDocument/2006/relationships/hyperlink" Target="https://login.consultant.ru/link/?req=doc&amp;base=LAW&amp;n=482844&amp;dst=100636" TargetMode = "External"/>
	<Relationship Id="rId54" Type="http://schemas.openxmlformats.org/officeDocument/2006/relationships/hyperlink" Target="https://login.consultant.ru/link/?req=doc&amp;base=LAW&amp;n=482844&amp;dst=100638" TargetMode = "External"/>
	<Relationship Id="rId55" Type="http://schemas.openxmlformats.org/officeDocument/2006/relationships/hyperlink" Target="https://login.consultant.ru/link/?req=doc&amp;base=LAW&amp;n=482844&amp;dst=101187" TargetMode = "External"/>
	<Relationship Id="rId56" Type="http://schemas.openxmlformats.org/officeDocument/2006/relationships/hyperlink" Target="https://login.consultant.ru/link/?req=doc&amp;base=LAW&amp;n=482844&amp;dst=101212" TargetMode = "External"/>
	<Relationship Id="rId57" Type="http://schemas.openxmlformats.org/officeDocument/2006/relationships/hyperlink" Target="https://login.consultant.ru/link/?req=doc&amp;base=LAW&amp;n=482844&amp;dst=100636" TargetMode = "External"/>
	<Relationship Id="rId58" Type="http://schemas.openxmlformats.org/officeDocument/2006/relationships/hyperlink" Target="https://login.consultant.ru/link/?req=doc&amp;base=LAW&amp;n=482844&amp;dst=100638" TargetMode = "External"/>
	<Relationship Id="rId59" Type="http://schemas.openxmlformats.org/officeDocument/2006/relationships/hyperlink" Target="https://login.consultant.ru/link/?req=doc&amp;base=LAW&amp;n=482844&amp;dst=101187" TargetMode = "External"/>
	<Relationship Id="rId60" Type="http://schemas.openxmlformats.org/officeDocument/2006/relationships/hyperlink" Target="https://login.consultant.ru/link/?req=doc&amp;base=RLAW926&amp;n=260115&amp;dst=100036" TargetMode = "External"/>
	<Relationship Id="rId61" Type="http://schemas.openxmlformats.org/officeDocument/2006/relationships/hyperlink" Target="https://login.consultant.ru/link/?req=doc&amp;base=LAW&amp;n=482844&amp;dst=100851" TargetMode = "External"/>
	<Relationship Id="rId62" Type="http://schemas.openxmlformats.org/officeDocument/2006/relationships/hyperlink" Target="https://login.consultant.ru/link/?req=doc&amp;base=LAW&amp;n=482844&amp;dst=100864" TargetMode = "External"/>
	<Relationship Id="rId63" Type="http://schemas.openxmlformats.org/officeDocument/2006/relationships/hyperlink" Target="https://login.consultant.ru/link/?req=doc&amp;base=LAW&amp;n=482844&amp;dst=100636" TargetMode = "External"/>
	<Relationship Id="rId64" Type="http://schemas.openxmlformats.org/officeDocument/2006/relationships/hyperlink" Target="https://login.consultant.ru/link/?req=doc&amp;base=LAW&amp;n=482844&amp;dst=100638" TargetMode = "External"/>
	<Relationship Id="rId65" Type="http://schemas.openxmlformats.org/officeDocument/2006/relationships/hyperlink" Target="https://login.consultant.ru/link/?req=doc&amp;base=LAW&amp;n=482844&amp;dst=101187" TargetMode = "External"/>
	<Relationship Id="rId66" Type="http://schemas.openxmlformats.org/officeDocument/2006/relationships/hyperlink" Target="https://login.consultant.ru/link/?req=doc&amp;base=LAW&amp;n=482844&amp;dst=100888" TargetMode = "External"/>
	<Relationship Id="rId67" Type="http://schemas.openxmlformats.org/officeDocument/2006/relationships/hyperlink" Target="https://login.consultant.ru/link/?req=doc&amp;base=LAW&amp;n=482844&amp;dst=101242" TargetMode = "External"/>
	<Relationship Id="rId68" Type="http://schemas.openxmlformats.org/officeDocument/2006/relationships/hyperlink" Target="https://login.consultant.ru/link/?req=doc&amp;base=LAW&amp;n=482844&amp;dst=101000" TargetMode = "External"/>
	<Relationship Id="rId69" Type="http://schemas.openxmlformats.org/officeDocument/2006/relationships/hyperlink" Target="https://login.consultant.ru/link/?req=doc&amp;base=RLAW926&amp;n=260115&amp;dst=100037" TargetMode = "External"/>
	<Relationship Id="rId70" Type="http://schemas.openxmlformats.org/officeDocument/2006/relationships/hyperlink" Target="https://login.consultant.ru/link/?req=doc&amp;base=RLAW926&amp;n=260115&amp;dst=100039" TargetMode = "External"/>
	<Relationship Id="rId71" Type="http://schemas.openxmlformats.org/officeDocument/2006/relationships/hyperlink" Target="https://login.consultant.ru/link/?req=doc&amp;base=LAW&amp;n=482844&amp;dst=100711" TargetMode = "External"/>
	<Relationship Id="rId72" Type="http://schemas.openxmlformats.org/officeDocument/2006/relationships/hyperlink" Target="https://login.consultant.ru/link/?req=doc&amp;base=LAW&amp;n=482844&amp;dst=100225" TargetMode = "External"/>
	<Relationship Id="rId73" Type="http://schemas.openxmlformats.org/officeDocument/2006/relationships/hyperlink" Target="https://login.consultant.ru/link/?req=doc&amp;base=RLAW926&amp;n=260115&amp;dst=100041" TargetMode = "External"/>
	<Relationship Id="rId74" Type="http://schemas.openxmlformats.org/officeDocument/2006/relationships/hyperlink" Target="https://login.consultant.ru/link/?req=doc&amp;base=LAW&amp;n=482844&amp;dst=100422" TargetMode = "External"/>
	<Relationship Id="rId75" Type="http://schemas.openxmlformats.org/officeDocument/2006/relationships/hyperlink" Target="https://login.consultant.ru/link/?req=doc&amp;base=LAW&amp;n=482844&amp;dst=100338" TargetMode = "External"/>
	<Relationship Id="rId76" Type="http://schemas.openxmlformats.org/officeDocument/2006/relationships/hyperlink" Target="https://login.consultant.ru/link/?req=doc&amp;base=LAW&amp;n=482473&amp;dst=6382" TargetMode = "External"/>
	<Relationship Id="rId77" Type="http://schemas.openxmlformats.org/officeDocument/2006/relationships/hyperlink" Target="https://login.consultant.ru/link/?req=doc&amp;base=LAW&amp;n=482473&amp;dst=6398" TargetMode = "External"/>
	<Relationship Id="rId78" Type="http://schemas.openxmlformats.org/officeDocument/2006/relationships/hyperlink" Target="https://login.consultant.ru/link/?req=doc&amp;base=LAW&amp;n=482473&amp;dst=7996" TargetMode = "External"/>
	<Relationship Id="rId79" Type="http://schemas.openxmlformats.org/officeDocument/2006/relationships/hyperlink" Target="https://login.consultant.ru/link/?req=doc&amp;base=LAW&amp;n=482473&amp;dst=7998" TargetMode = "External"/>
	<Relationship Id="rId80" Type="http://schemas.openxmlformats.org/officeDocument/2006/relationships/hyperlink" Target="https://login.consultant.ru/link/?req=doc&amp;base=LAW&amp;n=482473&amp;dst=6382" TargetMode = "External"/>
	<Relationship Id="rId81" Type="http://schemas.openxmlformats.org/officeDocument/2006/relationships/hyperlink" Target="https://login.consultant.ru/link/?req=doc&amp;base=LAW&amp;n=482473&amp;dst=6398" TargetMode = "External"/>
	<Relationship Id="rId82" Type="http://schemas.openxmlformats.org/officeDocument/2006/relationships/hyperlink" Target="https://login.consultant.ru/link/?req=doc&amp;base=LAW&amp;n=482473&amp;dst=7996" TargetMode = "External"/>
	<Relationship Id="rId83" Type="http://schemas.openxmlformats.org/officeDocument/2006/relationships/hyperlink" Target="https://login.consultant.ru/link/?req=doc&amp;base=LAW&amp;n=482473&amp;dst=7998" TargetMode = "External"/>
	<Relationship Id="rId84" Type="http://schemas.openxmlformats.org/officeDocument/2006/relationships/hyperlink" Target="https://login.consultant.ru/link/?req=doc&amp;base=LAW&amp;n=482473&amp;dst=6382" TargetMode = "External"/>
	<Relationship Id="rId85" Type="http://schemas.openxmlformats.org/officeDocument/2006/relationships/hyperlink" Target="https://login.consultant.ru/link/?req=doc&amp;base=LAW&amp;n=482473&amp;dst=6398" TargetMode = "External"/>
	<Relationship Id="rId86" Type="http://schemas.openxmlformats.org/officeDocument/2006/relationships/hyperlink" Target="https://login.consultant.ru/link/?req=doc&amp;base=LAW&amp;n=482473&amp;dst=6382" TargetMode = "External"/>
	<Relationship Id="rId87" Type="http://schemas.openxmlformats.org/officeDocument/2006/relationships/hyperlink" Target="https://login.consultant.ru/link/?req=doc&amp;base=LAW&amp;n=482473&amp;dst=639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города Пыть-Яха от 30.07.2021 N 415
(ред. от 11.12.2023)
"Об утверждении Положения о муниципальном земельном контроле в границах города Пыть-Яха"</dc:title>
  <dcterms:created xsi:type="dcterms:W3CDTF">2024-08-27T05:22:27Z</dcterms:created>
</cp:coreProperties>
</file>