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88" w:rsidRPr="00EA50E9" w:rsidRDefault="00B97588" w:rsidP="00B97588">
      <w:pPr>
        <w:ind w:firstLine="709"/>
        <w:jc w:val="center"/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</w:pPr>
      <w:r w:rsidRPr="00EA50E9"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  <w:t>Информация о финансово-экономическом состоянии субъектов малого и среднего предпринимательства за 202</w:t>
      </w:r>
      <w:r w:rsidR="00002DDE" w:rsidRPr="00EA50E9">
        <w:rPr>
          <w:rStyle w:val="a3"/>
          <w:rFonts w:asciiTheme="minorHAnsi" w:hAnsiTheme="minorHAnsi"/>
          <w:color w:val="555555"/>
          <w:sz w:val="21"/>
          <w:szCs w:val="21"/>
          <w:shd w:val="clear" w:color="auto" w:fill="FFFFFF"/>
        </w:rPr>
        <w:t>4</w:t>
      </w:r>
      <w:r w:rsidRPr="00EA50E9">
        <w:rPr>
          <w:rStyle w:val="a3"/>
          <w:rFonts w:ascii="Helvetica" w:hAnsi="Helvetica"/>
          <w:color w:val="555555"/>
          <w:sz w:val="21"/>
          <w:szCs w:val="21"/>
          <w:shd w:val="clear" w:color="auto" w:fill="FFFFFF"/>
        </w:rPr>
        <w:t xml:space="preserve"> год.</w:t>
      </w:r>
    </w:p>
    <w:p w:rsidR="00B97588" w:rsidRPr="00EA50E9" w:rsidRDefault="00B97588" w:rsidP="00B97588">
      <w:pPr>
        <w:ind w:firstLine="709"/>
        <w:jc w:val="both"/>
        <w:rPr>
          <w:rStyle w:val="a3"/>
          <w:rFonts w:asciiTheme="minorHAnsi" w:hAnsiTheme="minorHAnsi"/>
          <w:color w:val="555555"/>
          <w:sz w:val="21"/>
          <w:szCs w:val="21"/>
          <w:shd w:val="clear" w:color="auto" w:fill="FFFFFF"/>
        </w:rPr>
      </w:pPr>
    </w:p>
    <w:p w:rsidR="00230401" w:rsidRPr="00EA50E9" w:rsidRDefault="00230401" w:rsidP="003B227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A50E9">
        <w:rPr>
          <w:sz w:val="26"/>
          <w:szCs w:val="26"/>
        </w:rPr>
        <w:t>По данным Единого реестра субъектов малого и среднего предпринимательства на 01.01.2025 года на территории города осуществляют свою деятельность 1 597 субъектов малого и среднего предпринимательства, в том числе 306 юридических лица, а также 1 291 индивидуальных предпринимателя.</w:t>
      </w:r>
    </w:p>
    <w:p w:rsidR="00230401" w:rsidRPr="00EA50E9" w:rsidRDefault="00230401" w:rsidP="003B227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A50E9">
        <w:rPr>
          <w:sz w:val="26"/>
          <w:szCs w:val="26"/>
        </w:rPr>
        <w:t>Кроме того, 2 631 налогоплательщик, применяющей специальный налоговый режим (налог на профессиональный доход), что на 20% больше по сравнению с показателем АППГ (2 201 ед.).</w:t>
      </w:r>
    </w:p>
    <w:p w:rsidR="00792C0E" w:rsidRPr="00EA50E9" w:rsidRDefault="00792C0E" w:rsidP="003B227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A50E9">
        <w:rPr>
          <w:sz w:val="26"/>
          <w:szCs w:val="26"/>
        </w:rPr>
        <w:t xml:space="preserve">Объекты торговли играют важную роль в экономике. Они являются основными точками обмена товаров и услуг. Объекты торговли предоставляют возможность создания рабочих мест в сфере продажи товаров и услуг, способствуют развитию экономики, поскольку способствуют обороту товаров и услуг, что ведет к увеличению доходов и налоговых поступлений города, предоставляют место, где покупатели могут приобрести необходимые товары и услуги для удовлетворения своих потребностей и желаний. </w:t>
      </w:r>
    </w:p>
    <w:p w:rsidR="00792C0E" w:rsidRPr="00EA50E9" w:rsidRDefault="00792C0E" w:rsidP="00792C0E">
      <w:pPr>
        <w:ind w:firstLine="708"/>
        <w:jc w:val="both"/>
        <w:rPr>
          <w:sz w:val="26"/>
          <w:szCs w:val="26"/>
        </w:rPr>
      </w:pPr>
      <w:r w:rsidRPr="00EA50E9">
        <w:rPr>
          <w:sz w:val="26"/>
          <w:szCs w:val="26"/>
        </w:rPr>
        <w:t>Кроме того, наличие различных объектов торговли способствует созданию конкуренции между продавцами. Это побуждает предприятия улучшать качество товаров и услуг, а также предлагать лучшие цены и условия для покупателей. Более того, объекты торговли могут также выполнять важные социальные функции. Они могут стать местом для общения, встреч и малых событий, которые способствуют укреплению сообщества.</w:t>
      </w:r>
    </w:p>
    <w:p w:rsidR="00D61AD3" w:rsidRPr="00EA50E9" w:rsidRDefault="00D61AD3" w:rsidP="00D61AD3">
      <w:pPr>
        <w:ind w:firstLine="720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>Потребительский рынок находится в непосредственной зависимости от других рынков, денежных доходов населения, регулирует товарно-денежные отношения, способствует конкурентоспособности отечественных товаров и является одним из важных секторов жизнеобеспечения города.</w:t>
      </w:r>
    </w:p>
    <w:p w:rsidR="00D61AD3" w:rsidRPr="00EA50E9" w:rsidRDefault="00D61AD3" w:rsidP="00D61AD3">
      <w:pPr>
        <w:ind w:firstLine="720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 xml:space="preserve">За 2024 год по оценочным данным оборот розничной торговли по полному кругу предприятий составит 6 584,9 млн. рублей, объем оказанных услуг – 912,2 млн. рублей. </w:t>
      </w:r>
    </w:p>
    <w:p w:rsidR="00FC6D9A" w:rsidRPr="00EA50E9" w:rsidRDefault="00FC6D9A" w:rsidP="00FC6D9A">
      <w:pPr>
        <w:ind w:firstLine="720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 xml:space="preserve">На 31.12.2024 инфраструктуру потребительского рынка в городе составляют 16 торговых центров площадью 17 624,4 </w:t>
      </w:r>
      <w:proofErr w:type="spellStart"/>
      <w:r w:rsidRPr="00EA50E9">
        <w:rPr>
          <w:bCs/>
          <w:sz w:val="26"/>
          <w:szCs w:val="26"/>
        </w:rPr>
        <w:t>кв.м</w:t>
      </w:r>
      <w:proofErr w:type="spellEnd"/>
      <w:r w:rsidRPr="00EA50E9">
        <w:rPr>
          <w:bCs/>
          <w:sz w:val="26"/>
          <w:szCs w:val="26"/>
        </w:rPr>
        <w:t xml:space="preserve">., 377 продовольственных, непродовольственных и универсальных магазинов площадью 47 301 </w:t>
      </w:r>
      <w:proofErr w:type="spellStart"/>
      <w:r w:rsidRPr="00EA50E9">
        <w:rPr>
          <w:bCs/>
          <w:sz w:val="26"/>
          <w:szCs w:val="26"/>
        </w:rPr>
        <w:t>кв.м</w:t>
      </w:r>
      <w:proofErr w:type="spellEnd"/>
      <w:r w:rsidRPr="00EA50E9">
        <w:rPr>
          <w:bCs/>
          <w:sz w:val="26"/>
          <w:szCs w:val="26"/>
        </w:rPr>
        <w:t>., а также 69 объектов нестационарной торговли (павильоны и киоски).</w:t>
      </w:r>
    </w:p>
    <w:p w:rsidR="001C3EAC" w:rsidRPr="00EA50E9" w:rsidRDefault="001C3EAC" w:rsidP="001C3EAC">
      <w:pPr>
        <w:jc w:val="center"/>
        <w:rPr>
          <w:sz w:val="26"/>
        </w:rPr>
      </w:pPr>
    </w:p>
    <w:p w:rsidR="001C3EAC" w:rsidRPr="00EA50E9" w:rsidRDefault="001C3EAC" w:rsidP="001C3EAC">
      <w:pPr>
        <w:jc w:val="center"/>
        <w:rPr>
          <w:sz w:val="26"/>
        </w:rPr>
      </w:pPr>
      <w:r w:rsidRPr="00EA50E9">
        <w:rPr>
          <w:sz w:val="26"/>
        </w:rPr>
        <w:t>Структура предприятий торговли в динамике: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967"/>
        <w:gridCol w:w="1681"/>
        <w:gridCol w:w="1842"/>
        <w:gridCol w:w="1849"/>
      </w:tblGrid>
      <w:tr w:rsidR="001C3EAC" w:rsidRPr="00EA50E9" w:rsidTr="00D92512">
        <w:trPr>
          <w:trHeight w:val="313"/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1C3EAC" w:rsidRPr="00EA50E9" w:rsidRDefault="001C3EAC" w:rsidP="00D92512">
            <w:pPr>
              <w:spacing w:line="240" w:lineRule="atLeast"/>
              <w:jc w:val="both"/>
            </w:pPr>
            <w:r w:rsidRPr="00EA50E9">
              <w:t>Наименование объектов потребительского рынка</w:t>
            </w:r>
          </w:p>
        </w:tc>
        <w:tc>
          <w:tcPr>
            <w:tcW w:w="879" w:type="pct"/>
            <w:shd w:val="clear" w:color="auto" w:fill="auto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На 01.01.2024</w:t>
            </w:r>
          </w:p>
          <w:p w:rsidR="001C3EAC" w:rsidRPr="00EA50E9" w:rsidRDefault="001C3EAC" w:rsidP="00D92512">
            <w:pPr>
              <w:spacing w:line="240" w:lineRule="atLeast"/>
              <w:jc w:val="center"/>
            </w:pPr>
          </w:p>
        </w:tc>
        <w:tc>
          <w:tcPr>
            <w:tcW w:w="965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На 01.01.2025</w:t>
            </w:r>
          </w:p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оценка</w:t>
            </w:r>
          </w:p>
        </w:tc>
        <w:tc>
          <w:tcPr>
            <w:tcW w:w="958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Темп роста%</w:t>
            </w:r>
          </w:p>
        </w:tc>
      </w:tr>
      <w:tr w:rsidR="001C3EAC" w:rsidRPr="00EA50E9" w:rsidTr="00D92512">
        <w:trPr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1C3EAC" w:rsidRPr="00EA50E9" w:rsidRDefault="001C3EAC" w:rsidP="00D92512">
            <w:pPr>
              <w:spacing w:line="240" w:lineRule="atLeast"/>
              <w:jc w:val="both"/>
            </w:pPr>
            <w:r w:rsidRPr="00EA50E9">
              <w:t>Магазины</w:t>
            </w:r>
          </w:p>
        </w:tc>
        <w:tc>
          <w:tcPr>
            <w:tcW w:w="879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345</w:t>
            </w:r>
          </w:p>
        </w:tc>
        <w:tc>
          <w:tcPr>
            <w:tcW w:w="965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377</w:t>
            </w:r>
          </w:p>
        </w:tc>
        <w:tc>
          <w:tcPr>
            <w:tcW w:w="958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109</w:t>
            </w:r>
          </w:p>
        </w:tc>
      </w:tr>
      <w:tr w:rsidR="001C3EAC" w:rsidRPr="00EA50E9" w:rsidTr="00D92512">
        <w:trPr>
          <w:trHeight w:val="215"/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1C3EAC" w:rsidRPr="00EA50E9" w:rsidRDefault="001C3EAC" w:rsidP="00D92512">
            <w:pPr>
              <w:spacing w:line="240" w:lineRule="atLeast"/>
              <w:jc w:val="both"/>
              <w:outlineLvl w:val="6"/>
              <w:rPr>
                <w:lang w:val="x-none" w:eastAsia="x-none"/>
              </w:rPr>
            </w:pPr>
            <w:r w:rsidRPr="00EA50E9">
              <w:rPr>
                <w:lang w:val="x-none" w:eastAsia="x-none"/>
              </w:rPr>
              <w:t>Торговые комплексы и центры</w:t>
            </w:r>
          </w:p>
        </w:tc>
        <w:tc>
          <w:tcPr>
            <w:tcW w:w="879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16</w:t>
            </w:r>
          </w:p>
        </w:tc>
        <w:tc>
          <w:tcPr>
            <w:tcW w:w="965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16</w:t>
            </w:r>
          </w:p>
        </w:tc>
        <w:tc>
          <w:tcPr>
            <w:tcW w:w="958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100</w:t>
            </w:r>
          </w:p>
        </w:tc>
      </w:tr>
      <w:tr w:rsidR="001C3EAC" w:rsidRPr="00EA50E9" w:rsidTr="00D92512">
        <w:trPr>
          <w:trHeight w:val="223"/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1C3EAC" w:rsidRPr="00EA50E9" w:rsidRDefault="001C3EAC" w:rsidP="00D92512">
            <w:pPr>
              <w:spacing w:line="240" w:lineRule="atLeast"/>
              <w:jc w:val="both"/>
              <w:outlineLvl w:val="6"/>
              <w:rPr>
                <w:lang w:val="x-none" w:eastAsia="x-none"/>
              </w:rPr>
            </w:pPr>
            <w:r w:rsidRPr="00EA50E9">
              <w:rPr>
                <w:lang w:val="x-none" w:eastAsia="x-none"/>
              </w:rPr>
              <w:t>Павильоны</w:t>
            </w:r>
          </w:p>
        </w:tc>
        <w:tc>
          <w:tcPr>
            <w:tcW w:w="879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65</w:t>
            </w:r>
          </w:p>
        </w:tc>
        <w:tc>
          <w:tcPr>
            <w:tcW w:w="965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67</w:t>
            </w:r>
          </w:p>
        </w:tc>
        <w:tc>
          <w:tcPr>
            <w:tcW w:w="958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103</w:t>
            </w:r>
          </w:p>
        </w:tc>
      </w:tr>
      <w:tr w:rsidR="001C3EAC" w:rsidRPr="00EA50E9" w:rsidTr="00D92512">
        <w:trPr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1C3EAC" w:rsidRPr="00EA50E9" w:rsidRDefault="001C3EAC" w:rsidP="00D92512">
            <w:pPr>
              <w:spacing w:line="240" w:lineRule="atLeast"/>
              <w:jc w:val="both"/>
            </w:pPr>
            <w:r w:rsidRPr="00EA50E9">
              <w:t>Мелкорозничная сеть (киоски)</w:t>
            </w:r>
          </w:p>
        </w:tc>
        <w:tc>
          <w:tcPr>
            <w:tcW w:w="879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2</w:t>
            </w:r>
          </w:p>
        </w:tc>
        <w:tc>
          <w:tcPr>
            <w:tcW w:w="965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2</w:t>
            </w:r>
          </w:p>
        </w:tc>
        <w:tc>
          <w:tcPr>
            <w:tcW w:w="958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100</w:t>
            </w:r>
          </w:p>
        </w:tc>
      </w:tr>
      <w:tr w:rsidR="001C3EAC" w:rsidRPr="00EA50E9" w:rsidTr="00D92512">
        <w:trPr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1C3EAC" w:rsidRPr="00EA50E9" w:rsidRDefault="001C3EAC" w:rsidP="00D92512">
            <w:pPr>
              <w:spacing w:line="240" w:lineRule="atLeast"/>
              <w:jc w:val="both"/>
            </w:pPr>
            <w:r w:rsidRPr="00EA50E9">
              <w:t>Всего</w:t>
            </w:r>
          </w:p>
        </w:tc>
        <w:tc>
          <w:tcPr>
            <w:tcW w:w="879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428</w:t>
            </w:r>
          </w:p>
        </w:tc>
        <w:tc>
          <w:tcPr>
            <w:tcW w:w="965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462</w:t>
            </w:r>
          </w:p>
        </w:tc>
        <w:tc>
          <w:tcPr>
            <w:tcW w:w="958" w:type="pct"/>
          </w:tcPr>
          <w:p w:rsidR="001C3EAC" w:rsidRPr="00EA50E9" w:rsidRDefault="001C3EAC" w:rsidP="00D92512">
            <w:pPr>
              <w:spacing w:line="240" w:lineRule="atLeast"/>
              <w:jc w:val="center"/>
            </w:pPr>
            <w:r w:rsidRPr="00EA50E9">
              <w:t>108</w:t>
            </w:r>
          </w:p>
        </w:tc>
      </w:tr>
    </w:tbl>
    <w:p w:rsidR="00B01B02" w:rsidRPr="00EA50E9" w:rsidRDefault="00B01B02" w:rsidP="00FC6D9A">
      <w:pPr>
        <w:ind w:firstLine="720"/>
        <w:jc w:val="both"/>
        <w:rPr>
          <w:bCs/>
          <w:sz w:val="26"/>
          <w:szCs w:val="26"/>
        </w:rPr>
      </w:pPr>
    </w:p>
    <w:p w:rsidR="00FC6D9A" w:rsidRPr="00EA50E9" w:rsidRDefault="00FC6D9A" w:rsidP="00944F89">
      <w:pPr>
        <w:ind w:firstLine="709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 xml:space="preserve">Количество стационарных и нестационарных торговых объектов более чем в 2 раза выше норматива минимальной обеспеченности населения количеством торговых объектов, установленного постановлением Правительства Ханты-Мансийского округа - Югры от 05.08.2016 № 291-п «О нормативах минимальной </w:t>
      </w:r>
      <w:r w:rsidRPr="00EA50E9">
        <w:rPr>
          <w:bCs/>
          <w:sz w:val="26"/>
          <w:szCs w:val="26"/>
        </w:rPr>
        <w:lastRenderedPageBreak/>
        <w:t xml:space="preserve">обеспеченности населения площадью стационарных торговых объектов, нестационарных торговых объектов, торговых мест, используемых для осуществления деятельности по продаже товаров на ярмарках и розничных рынках в Ханты-Мансийском автономном округе – Югре». </w:t>
      </w:r>
    </w:p>
    <w:p w:rsidR="00FC6D9A" w:rsidRPr="00EA50E9" w:rsidRDefault="00FC6D9A" w:rsidP="00944F89">
      <w:pPr>
        <w:ind w:firstLine="709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>На сегодняшний день в городе осуществляют свою деятельность такие  федеральные и региональные торговые сети как: «Перекресток», «Магнит», «Пятерочка», «Монетка», «Красное Белое», «</w:t>
      </w:r>
      <w:proofErr w:type="spellStart"/>
      <w:r w:rsidRPr="00EA50E9">
        <w:rPr>
          <w:bCs/>
          <w:sz w:val="26"/>
          <w:szCs w:val="26"/>
        </w:rPr>
        <w:t>Светлое&amp;Темное</w:t>
      </w:r>
      <w:proofErr w:type="spellEnd"/>
      <w:r w:rsidRPr="00EA50E9">
        <w:rPr>
          <w:bCs/>
          <w:sz w:val="26"/>
          <w:szCs w:val="26"/>
        </w:rPr>
        <w:t>», «</w:t>
      </w:r>
      <w:proofErr w:type="spellStart"/>
      <w:r w:rsidRPr="00EA50E9">
        <w:rPr>
          <w:bCs/>
          <w:sz w:val="26"/>
          <w:szCs w:val="26"/>
        </w:rPr>
        <w:t>Пив&amp;Ко</w:t>
      </w:r>
      <w:proofErr w:type="spellEnd"/>
      <w:r w:rsidRPr="00EA50E9">
        <w:rPr>
          <w:bCs/>
          <w:sz w:val="26"/>
          <w:szCs w:val="26"/>
        </w:rPr>
        <w:t xml:space="preserve">», «Кружка», «Бристоль», «Продукты </w:t>
      </w:r>
      <w:proofErr w:type="spellStart"/>
      <w:r w:rsidRPr="00EA50E9">
        <w:rPr>
          <w:bCs/>
          <w:sz w:val="26"/>
          <w:szCs w:val="26"/>
        </w:rPr>
        <w:t>Ермолино</w:t>
      </w:r>
      <w:proofErr w:type="spellEnd"/>
      <w:r w:rsidRPr="00EA50E9">
        <w:rPr>
          <w:bCs/>
          <w:sz w:val="26"/>
          <w:szCs w:val="26"/>
        </w:rPr>
        <w:t>», «Светофор», «</w:t>
      </w:r>
      <w:proofErr w:type="spellStart"/>
      <w:r w:rsidRPr="00EA50E9">
        <w:rPr>
          <w:bCs/>
          <w:sz w:val="26"/>
          <w:szCs w:val="26"/>
        </w:rPr>
        <w:t>Доброцен</w:t>
      </w:r>
      <w:proofErr w:type="spellEnd"/>
      <w:r w:rsidRPr="00EA50E9">
        <w:rPr>
          <w:bCs/>
          <w:sz w:val="26"/>
          <w:szCs w:val="26"/>
        </w:rPr>
        <w:t>», «Детский мир», магазины цифровой и бытовой техники «DNS» и «RBT.ru», салоны связи «МТС», «Мегафон», «Теле2», универсальные магазины «</w:t>
      </w:r>
      <w:proofErr w:type="spellStart"/>
      <w:r w:rsidRPr="00EA50E9">
        <w:rPr>
          <w:bCs/>
          <w:sz w:val="26"/>
          <w:szCs w:val="26"/>
        </w:rPr>
        <w:t>Галамарт</w:t>
      </w:r>
      <w:proofErr w:type="spellEnd"/>
      <w:r w:rsidRPr="00EA50E9">
        <w:rPr>
          <w:bCs/>
          <w:sz w:val="26"/>
          <w:szCs w:val="26"/>
        </w:rPr>
        <w:t>», «</w:t>
      </w:r>
      <w:proofErr w:type="spellStart"/>
      <w:r w:rsidRPr="00EA50E9">
        <w:rPr>
          <w:bCs/>
          <w:sz w:val="26"/>
          <w:szCs w:val="26"/>
        </w:rPr>
        <w:t>Fix</w:t>
      </w:r>
      <w:proofErr w:type="spellEnd"/>
      <w:r w:rsidRPr="00EA50E9">
        <w:rPr>
          <w:bCs/>
          <w:sz w:val="26"/>
          <w:szCs w:val="26"/>
        </w:rPr>
        <w:t xml:space="preserve"> </w:t>
      </w:r>
      <w:proofErr w:type="spellStart"/>
      <w:r w:rsidRPr="00EA50E9">
        <w:rPr>
          <w:bCs/>
          <w:sz w:val="26"/>
          <w:szCs w:val="26"/>
        </w:rPr>
        <w:t>price</w:t>
      </w:r>
      <w:proofErr w:type="spellEnd"/>
      <w:r w:rsidRPr="00EA50E9">
        <w:rPr>
          <w:bCs/>
          <w:sz w:val="26"/>
          <w:szCs w:val="26"/>
        </w:rPr>
        <w:t>», «</w:t>
      </w:r>
      <w:proofErr w:type="spellStart"/>
      <w:r w:rsidRPr="00EA50E9">
        <w:rPr>
          <w:bCs/>
          <w:sz w:val="26"/>
          <w:szCs w:val="26"/>
        </w:rPr>
        <w:t>WildBerries</w:t>
      </w:r>
      <w:proofErr w:type="spellEnd"/>
      <w:r w:rsidRPr="00EA50E9">
        <w:rPr>
          <w:bCs/>
          <w:sz w:val="26"/>
          <w:szCs w:val="26"/>
        </w:rPr>
        <w:t>», «OZON», магазины обуви «Кари», «</w:t>
      </w:r>
      <w:proofErr w:type="spellStart"/>
      <w:r w:rsidRPr="00EA50E9">
        <w:rPr>
          <w:bCs/>
          <w:sz w:val="26"/>
          <w:szCs w:val="26"/>
        </w:rPr>
        <w:t>Юничел</w:t>
      </w:r>
      <w:proofErr w:type="spellEnd"/>
      <w:r w:rsidRPr="00EA50E9">
        <w:rPr>
          <w:bCs/>
          <w:sz w:val="26"/>
          <w:szCs w:val="26"/>
        </w:rPr>
        <w:t>», «</w:t>
      </w:r>
      <w:proofErr w:type="spellStart"/>
      <w:r w:rsidRPr="00EA50E9">
        <w:rPr>
          <w:bCs/>
          <w:sz w:val="26"/>
          <w:szCs w:val="26"/>
        </w:rPr>
        <w:t>Rieker</w:t>
      </w:r>
      <w:proofErr w:type="spellEnd"/>
      <w:r w:rsidRPr="00EA50E9">
        <w:rPr>
          <w:bCs/>
          <w:sz w:val="26"/>
          <w:szCs w:val="26"/>
        </w:rPr>
        <w:t>» и другие.</w:t>
      </w:r>
    </w:p>
    <w:p w:rsidR="00FC6D9A" w:rsidRPr="00EA50E9" w:rsidRDefault="00FC6D9A" w:rsidP="00944F89">
      <w:pPr>
        <w:ind w:firstLine="709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 xml:space="preserve">Одной из разновидностей форм торговли выступает франчайзинг (использование известной торговой марки для перепродажи). В </w:t>
      </w:r>
      <w:proofErr w:type="spellStart"/>
      <w:r w:rsidRPr="00EA50E9">
        <w:rPr>
          <w:bCs/>
          <w:sz w:val="26"/>
          <w:szCs w:val="26"/>
        </w:rPr>
        <w:t>Пыть-Яхе</w:t>
      </w:r>
      <w:proofErr w:type="spellEnd"/>
      <w:r w:rsidRPr="00EA50E9">
        <w:rPr>
          <w:bCs/>
          <w:sz w:val="26"/>
          <w:szCs w:val="26"/>
        </w:rPr>
        <w:t xml:space="preserve"> это «585», «</w:t>
      </w:r>
      <w:proofErr w:type="spellStart"/>
      <w:r w:rsidRPr="00EA50E9">
        <w:rPr>
          <w:bCs/>
          <w:sz w:val="26"/>
          <w:szCs w:val="26"/>
        </w:rPr>
        <w:t>Юничел</w:t>
      </w:r>
      <w:proofErr w:type="spellEnd"/>
      <w:r w:rsidRPr="00EA50E9">
        <w:rPr>
          <w:bCs/>
          <w:sz w:val="26"/>
          <w:szCs w:val="26"/>
        </w:rPr>
        <w:t>», «</w:t>
      </w:r>
      <w:proofErr w:type="spellStart"/>
      <w:r w:rsidRPr="00EA50E9">
        <w:rPr>
          <w:bCs/>
          <w:sz w:val="26"/>
          <w:szCs w:val="26"/>
        </w:rPr>
        <w:t>Climber</w:t>
      </w:r>
      <w:proofErr w:type="spellEnd"/>
      <w:r w:rsidRPr="00EA50E9">
        <w:rPr>
          <w:bCs/>
          <w:sz w:val="26"/>
          <w:szCs w:val="26"/>
        </w:rPr>
        <w:t xml:space="preserve"> </w:t>
      </w:r>
      <w:proofErr w:type="spellStart"/>
      <w:r w:rsidRPr="00EA50E9">
        <w:rPr>
          <w:bCs/>
          <w:sz w:val="26"/>
          <w:szCs w:val="26"/>
        </w:rPr>
        <w:t>b.c</w:t>
      </w:r>
      <w:proofErr w:type="spellEnd"/>
      <w:r w:rsidRPr="00EA50E9">
        <w:rPr>
          <w:bCs/>
          <w:sz w:val="26"/>
          <w:szCs w:val="26"/>
        </w:rPr>
        <w:t>.», «Глиссада», «</w:t>
      </w:r>
      <w:proofErr w:type="spellStart"/>
      <w:r w:rsidRPr="00EA50E9">
        <w:rPr>
          <w:bCs/>
          <w:sz w:val="26"/>
          <w:szCs w:val="26"/>
        </w:rPr>
        <w:t>VeraVictoriaVito</w:t>
      </w:r>
      <w:proofErr w:type="spellEnd"/>
      <w:r w:rsidRPr="00EA50E9">
        <w:rPr>
          <w:bCs/>
          <w:sz w:val="26"/>
          <w:szCs w:val="26"/>
        </w:rPr>
        <w:t>», «Настоящая пекарня» и другие.</w:t>
      </w:r>
    </w:p>
    <w:p w:rsidR="00461147" w:rsidRPr="00EA50E9" w:rsidRDefault="00461147" w:rsidP="00944F89">
      <w:pPr>
        <w:ind w:firstLine="709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>Также на территории города работают 23 аптечных магазина и 1 аптечный пункт, представленных 12 федеральными и региональными сетями, осуществляющие розничную торговлю лекарственными средствами.</w:t>
      </w:r>
    </w:p>
    <w:p w:rsidR="00461147" w:rsidRPr="00EA50E9" w:rsidRDefault="00461147" w:rsidP="00944F89">
      <w:pPr>
        <w:ind w:firstLine="709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>Реализация нефтепродуктов и газа населению осуществляется на 9 объектах, в том числе на 5 автомобильных заправочных станциях и 4 автомобильных газозаправочных станциях.</w:t>
      </w:r>
    </w:p>
    <w:p w:rsidR="00461147" w:rsidRPr="00EA50E9" w:rsidRDefault="00461147" w:rsidP="00944F89">
      <w:pPr>
        <w:ind w:firstLine="709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 xml:space="preserve">С приходом в город сетевых компаний значительно вырос уровень конкуренции, в то же время совершенствуются форматы торговли, создаются новые рабочие места, расширяется ассортимент товаров и снижается их цена, создаются условия для комплексной покупки. </w:t>
      </w:r>
    </w:p>
    <w:p w:rsidR="00461147" w:rsidRPr="00EA50E9" w:rsidRDefault="00461147" w:rsidP="00944F89">
      <w:pPr>
        <w:ind w:firstLine="709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>В схему размещения нестационарных торговых объектов на территории города Пыть-Яха, утвержденную постановлением администрации города Пыть-Яха от 20.05.2016 № 117-па (в ред. ред. от 15.08.2024) включено 71 место размещения нестационарных торговых объектов.</w:t>
      </w:r>
    </w:p>
    <w:p w:rsidR="00461147" w:rsidRPr="00EA50E9" w:rsidRDefault="00461147" w:rsidP="00944F89">
      <w:pPr>
        <w:ind w:firstLine="709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>Схема размещена на официальном веб-сайте органов местного самоуправления муниципального образования город Пыть-Ях (www.adm.gov86.org) в разделе: «Экономика - Нестационарная торговая деятельность».</w:t>
      </w:r>
    </w:p>
    <w:p w:rsidR="00FC6D9A" w:rsidRPr="00EA50E9" w:rsidRDefault="00FC6D9A" w:rsidP="00944F89">
      <w:pPr>
        <w:ind w:firstLine="709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>Сфера общественного питания играет огромную роль в жизни каждого человека и современного общества в целом. Все больше людей предпочитают питаться вне дома. Общественное питание занимает особое место в сфере услуг. Это обеспечивается появлением новых технологий переработки продуктов питания, развитием коммуникаций, средств доставки продукции и сырья, интенсификацией многих производственных процессов. Также общественное питание способствует решению многих социально-экономических проблем. Именно услуги общественного питания формируют эффективный механизм удовлетворения потребностей населения в индивидуальных, персонифицированных услугах не только по организации питания, но и по организации досуга населения.</w:t>
      </w:r>
    </w:p>
    <w:p w:rsidR="00FC6D9A" w:rsidRPr="00EA50E9" w:rsidRDefault="00FC6D9A" w:rsidP="00944F89">
      <w:pPr>
        <w:ind w:firstLine="709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>Общественное питание на территории города осуществляют 89 предприятий на 4 403 посадочных места, в том числе:</w:t>
      </w:r>
    </w:p>
    <w:p w:rsidR="00FC6D9A" w:rsidRPr="00EA50E9" w:rsidRDefault="00FC6D9A" w:rsidP="00944F89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>-</w:t>
      </w:r>
      <w:r w:rsidRPr="00EA50E9">
        <w:rPr>
          <w:bCs/>
          <w:sz w:val="26"/>
          <w:szCs w:val="26"/>
        </w:rPr>
        <w:tab/>
        <w:t>1 ресторан на 160 посадочных мест;</w:t>
      </w:r>
    </w:p>
    <w:p w:rsidR="00FC6D9A" w:rsidRPr="00EA50E9" w:rsidRDefault="00FC6D9A" w:rsidP="00944F89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>-</w:t>
      </w:r>
      <w:r w:rsidRPr="00EA50E9">
        <w:rPr>
          <w:bCs/>
          <w:sz w:val="26"/>
          <w:szCs w:val="26"/>
        </w:rPr>
        <w:tab/>
        <w:t>6 баров на 151 посадочное место;</w:t>
      </w:r>
    </w:p>
    <w:p w:rsidR="00FC6D9A" w:rsidRPr="00EA50E9" w:rsidRDefault="00FC6D9A" w:rsidP="00944F89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>-</w:t>
      </w:r>
      <w:r w:rsidRPr="00EA50E9">
        <w:rPr>
          <w:bCs/>
          <w:sz w:val="26"/>
          <w:szCs w:val="26"/>
        </w:rPr>
        <w:tab/>
        <w:t>33 кафе на 2 100 посадочных мест;</w:t>
      </w:r>
    </w:p>
    <w:p w:rsidR="00FC6D9A" w:rsidRPr="00EA50E9" w:rsidRDefault="00FC6D9A" w:rsidP="00944F89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lastRenderedPageBreak/>
        <w:t>-</w:t>
      </w:r>
      <w:r w:rsidRPr="00EA50E9">
        <w:rPr>
          <w:bCs/>
          <w:sz w:val="26"/>
          <w:szCs w:val="26"/>
        </w:rPr>
        <w:tab/>
        <w:t xml:space="preserve">33 закусочных </w:t>
      </w:r>
      <w:r w:rsidRPr="00EA50E9">
        <w:rPr>
          <w:sz w:val="26"/>
          <w:szCs w:val="26"/>
        </w:rPr>
        <w:t xml:space="preserve">и прочих объектов общественного питания </w:t>
      </w:r>
      <w:r w:rsidRPr="00EA50E9">
        <w:rPr>
          <w:bCs/>
          <w:sz w:val="26"/>
          <w:szCs w:val="26"/>
        </w:rPr>
        <w:t xml:space="preserve">на                       236 посадочных мест; </w:t>
      </w:r>
    </w:p>
    <w:p w:rsidR="00FC6D9A" w:rsidRPr="00EA50E9" w:rsidRDefault="00FC6D9A" w:rsidP="00944F89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>-</w:t>
      </w:r>
      <w:r w:rsidRPr="00EA50E9">
        <w:rPr>
          <w:bCs/>
          <w:sz w:val="26"/>
          <w:szCs w:val="26"/>
        </w:rPr>
        <w:tab/>
        <w:t>16 столовых при учебных заведениях, организациях, промышленных предприятиях, а также общедоступных столовых на 1 756 посадочных мест.</w:t>
      </w:r>
    </w:p>
    <w:p w:rsidR="00FC6D9A" w:rsidRPr="00EA50E9" w:rsidRDefault="00FC6D9A" w:rsidP="00944F89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>По сравнению с 2023 годом количество объектов общественного питания выросло на 4,8 %, количество посадочных мест увеличилось на 6,1 %, что говорит о стабильности сферы общественного питания на территории города.</w:t>
      </w:r>
    </w:p>
    <w:p w:rsidR="00307311" w:rsidRPr="00EA50E9" w:rsidRDefault="00307311" w:rsidP="00307311">
      <w:pPr>
        <w:shd w:val="clear" w:color="auto" w:fill="FFFFFF"/>
        <w:spacing w:before="120" w:after="120" w:line="240" w:lineRule="atLeast"/>
        <w:ind w:firstLine="709"/>
        <w:jc w:val="center"/>
        <w:rPr>
          <w:b/>
          <w:sz w:val="26"/>
          <w:szCs w:val="26"/>
        </w:rPr>
      </w:pPr>
      <w:r w:rsidRPr="00EA50E9">
        <w:rPr>
          <w:sz w:val="26"/>
          <w:szCs w:val="26"/>
        </w:rPr>
        <w:t>Структура предприятий общественного питания: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66"/>
        <w:gridCol w:w="2881"/>
        <w:gridCol w:w="1962"/>
        <w:gridCol w:w="1965"/>
        <w:gridCol w:w="1965"/>
      </w:tblGrid>
      <w:tr w:rsidR="00307311" w:rsidRPr="00EA50E9" w:rsidTr="00D92512">
        <w:trPr>
          <w:trHeight w:val="348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№</w:t>
            </w:r>
          </w:p>
        </w:tc>
        <w:tc>
          <w:tcPr>
            <w:tcW w:w="1521" w:type="pct"/>
            <w:shd w:val="clear" w:color="auto" w:fill="auto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Предприятия питания</w:t>
            </w:r>
          </w:p>
        </w:tc>
        <w:tc>
          <w:tcPr>
            <w:tcW w:w="1029" w:type="pct"/>
            <w:shd w:val="clear" w:color="auto" w:fill="auto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На 01.01.2024</w:t>
            </w:r>
          </w:p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1031" w:type="pct"/>
          </w:tcPr>
          <w:p w:rsidR="00307311" w:rsidRPr="00EA50E9" w:rsidRDefault="00307311" w:rsidP="00D92512">
            <w:pPr>
              <w:spacing w:line="240" w:lineRule="atLeast"/>
              <w:jc w:val="center"/>
            </w:pPr>
            <w:r w:rsidRPr="00EA50E9">
              <w:t>На 01.01.2025</w:t>
            </w:r>
          </w:p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оценка</w:t>
            </w:r>
          </w:p>
        </w:tc>
        <w:tc>
          <w:tcPr>
            <w:tcW w:w="1020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Темп роста%</w:t>
            </w:r>
          </w:p>
        </w:tc>
      </w:tr>
      <w:tr w:rsidR="00307311" w:rsidRPr="00EA50E9" w:rsidTr="00D92512">
        <w:trPr>
          <w:trHeight w:val="236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1</w:t>
            </w:r>
          </w:p>
        </w:tc>
        <w:tc>
          <w:tcPr>
            <w:tcW w:w="1521" w:type="pct"/>
            <w:shd w:val="clear" w:color="auto" w:fill="auto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both"/>
            </w:pPr>
            <w:r w:rsidRPr="00EA50E9">
              <w:t>Рестораны</w:t>
            </w:r>
          </w:p>
        </w:tc>
        <w:tc>
          <w:tcPr>
            <w:tcW w:w="1029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1</w:t>
            </w:r>
          </w:p>
        </w:tc>
        <w:tc>
          <w:tcPr>
            <w:tcW w:w="1031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1</w:t>
            </w:r>
          </w:p>
        </w:tc>
        <w:tc>
          <w:tcPr>
            <w:tcW w:w="1020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100</w:t>
            </w:r>
          </w:p>
        </w:tc>
      </w:tr>
      <w:tr w:rsidR="00307311" w:rsidRPr="00EA50E9" w:rsidTr="00D92512">
        <w:trPr>
          <w:trHeight w:val="254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2</w:t>
            </w:r>
          </w:p>
        </w:tc>
        <w:tc>
          <w:tcPr>
            <w:tcW w:w="1521" w:type="pct"/>
            <w:shd w:val="clear" w:color="auto" w:fill="auto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both"/>
            </w:pPr>
            <w:r w:rsidRPr="00EA50E9">
              <w:t>Бары</w:t>
            </w:r>
          </w:p>
        </w:tc>
        <w:tc>
          <w:tcPr>
            <w:tcW w:w="1029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6</w:t>
            </w:r>
          </w:p>
        </w:tc>
        <w:tc>
          <w:tcPr>
            <w:tcW w:w="1031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6</w:t>
            </w:r>
          </w:p>
        </w:tc>
        <w:tc>
          <w:tcPr>
            <w:tcW w:w="1020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100</w:t>
            </w:r>
          </w:p>
        </w:tc>
      </w:tr>
      <w:tr w:rsidR="00307311" w:rsidRPr="00EA50E9" w:rsidTr="00D92512">
        <w:trPr>
          <w:trHeight w:val="254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3</w:t>
            </w:r>
          </w:p>
        </w:tc>
        <w:tc>
          <w:tcPr>
            <w:tcW w:w="1521" w:type="pct"/>
            <w:shd w:val="clear" w:color="auto" w:fill="auto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both"/>
            </w:pPr>
            <w:r w:rsidRPr="00EA50E9">
              <w:t>Кафе</w:t>
            </w:r>
          </w:p>
        </w:tc>
        <w:tc>
          <w:tcPr>
            <w:tcW w:w="1029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33</w:t>
            </w:r>
          </w:p>
        </w:tc>
        <w:tc>
          <w:tcPr>
            <w:tcW w:w="1031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33</w:t>
            </w:r>
          </w:p>
        </w:tc>
        <w:tc>
          <w:tcPr>
            <w:tcW w:w="1020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100</w:t>
            </w:r>
          </w:p>
        </w:tc>
      </w:tr>
      <w:tr w:rsidR="00307311" w:rsidRPr="00EA50E9" w:rsidTr="00D92512">
        <w:trPr>
          <w:trHeight w:val="236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4</w:t>
            </w:r>
          </w:p>
        </w:tc>
        <w:tc>
          <w:tcPr>
            <w:tcW w:w="1521" w:type="pct"/>
            <w:shd w:val="clear" w:color="auto" w:fill="auto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both"/>
            </w:pPr>
            <w:r w:rsidRPr="00EA50E9">
              <w:t>Закусочные</w:t>
            </w:r>
          </w:p>
        </w:tc>
        <w:tc>
          <w:tcPr>
            <w:tcW w:w="1029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30</w:t>
            </w:r>
          </w:p>
        </w:tc>
        <w:tc>
          <w:tcPr>
            <w:tcW w:w="1031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33</w:t>
            </w:r>
          </w:p>
        </w:tc>
        <w:tc>
          <w:tcPr>
            <w:tcW w:w="1020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110</w:t>
            </w:r>
          </w:p>
        </w:tc>
      </w:tr>
      <w:tr w:rsidR="00307311" w:rsidRPr="00EA50E9" w:rsidTr="00D92512">
        <w:trPr>
          <w:trHeight w:val="254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5</w:t>
            </w:r>
          </w:p>
        </w:tc>
        <w:tc>
          <w:tcPr>
            <w:tcW w:w="1521" w:type="pct"/>
            <w:shd w:val="clear" w:color="auto" w:fill="auto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both"/>
            </w:pPr>
            <w:r w:rsidRPr="00EA50E9">
              <w:t>Столовые</w:t>
            </w:r>
          </w:p>
        </w:tc>
        <w:tc>
          <w:tcPr>
            <w:tcW w:w="1029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14</w:t>
            </w:r>
          </w:p>
        </w:tc>
        <w:tc>
          <w:tcPr>
            <w:tcW w:w="1031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16</w:t>
            </w:r>
          </w:p>
        </w:tc>
        <w:tc>
          <w:tcPr>
            <w:tcW w:w="1020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114</w:t>
            </w:r>
          </w:p>
        </w:tc>
      </w:tr>
      <w:tr w:rsidR="00307311" w:rsidRPr="00EA50E9" w:rsidTr="00D92512">
        <w:trPr>
          <w:trHeight w:val="236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521" w:type="pct"/>
            <w:shd w:val="clear" w:color="auto" w:fill="auto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both"/>
            </w:pPr>
            <w:r w:rsidRPr="00EA50E9">
              <w:t>Итого</w:t>
            </w:r>
          </w:p>
        </w:tc>
        <w:tc>
          <w:tcPr>
            <w:tcW w:w="1029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84</w:t>
            </w:r>
          </w:p>
        </w:tc>
        <w:tc>
          <w:tcPr>
            <w:tcW w:w="1031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89</w:t>
            </w:r>
          </w:p>
        </w:tc>
        <w:tc>
          <w:tcPr>
            <w:tcW w:w="1020" w:type="pct"/>
          </w:tcPr>
          <w:p w:rsidR="00307311" w:rsidRPr="00EA50E9" w:rsidRDefault="00307311" w:rsidP="00D92512">
            <w:pPr>
              <w:shd w:val="clear" w:color="auto" w:fill="FFFFFF"/>
              <w:spacing w:line="240" w:lineRule="atLeast"/>
              <w:jc w:val="center"/>
            </w:pPr>
            <w:r w:rsidRPr="00EA50E9">
              <w:t>106</w:t>
            </w:r>
          </w:p>
        </w:tc>
      </w:tr>
    </w:tbl>
    <w:p w:rsidR="00307311" w:rsidRPr="00EA50E9" w:rsidRDefault="00307311" w:rsidP="00B16EFE">
      <w:pPr>
        <w:ind w:firstLine="708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>В структуре предприятий общественного питания большую часть (74,2%) занимают кафе и закусочные, которые в современных условиях специализируются в том числе и на доставке еды на дом.</w:t>
      </w:r>
    </w:p>
    <w:p w:rsidR="00307311" w:rsidRPr="00EA50E9" w:rsidRDefault="00307311" w:rsidP="00B16EFE">
      <w:pPr>
        <w:ind w:firstLine="708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>Показателем обеспеченности населения услугами общественного питания является показатель количества посадочных мест на 1 000 жителей. Обеспеченность общедоступной сетью питания жителей города на 01.01.2025 составляет 92 места на 1 000 жителей (норматив на 1 000 жителей 40 мест) или 230 % от норматива.</w:t>
      </w:r>
    </w:p>
    <w:p w:rsidR="00B16EFE" w:rsidRPr="00EA50E9" w:rsidRDefault="00B16EFE" w:rsidP="00B16EFE">
      <w:pPr>
        <w:ind w:firstLine="708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 xml:space="preserve">Распоряжением администрации города от 17.02.2022 № 230-ра «Об утверждении плана мероприятий («дорожной карты») по развитию конкуренции в городе </w:t>
      </w:r>
      <w:proofErr w:type="spellStart"/>
      <w:r w:rsidRPr="00EA50E9">
        <w:rPr>
          <w:bCs/>
          <w:sz w:val="26"/>
          <w:szCs w:val="26"/>
        </w:rPr>
        <w:t>Пыть-Яхе</w:t>
      </w:r>
      <w:proofErr w:type="spellEnd"/>
      <w:r w:rsidRPr="00EA50E9">
        <w:rPr>
          <w:bCs/>
          <w:sz w:val="26"/>
          <w:szCs w:val="26"/>
        </w:rPr>
        <w:t xml:space="preserve">» утвержден перечень из </w:t>
      </w:r>
      <w:r w:rsidRPr="00EA50E9">
        <w:rPr>
          <w:bCs/>
          <w:color w:val="000000" w:themeColor="text1"/>
          <w:sz w:val="26"/>
          <w:szCs w:val="26"/>
        </w:rPr>
        <w:t xml:space="preserve">33 товарных рынков для содействия и развития конкуренции в муниципальном образовании, с ключевыми показателями, а также 76 мероприятий по развитию таких рынков. </w:t>
      </w:r>
    </w:p>
    <w:p w:rsidR="00B16EFE" w:rsidRPr="00EA50E9" w:rsidRDefault="00B16EFE" w:rsidP="00B16EFE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EA50E9">
        <w:rPr>
          <w:bCs/>
          <w:color w:val="000000" w:themeColor="text1"/>
          <w:sz w:val="26"/>
          <w:szCs w:val="26"/>
        </w:rPr>
        <w:t>За отчетный период 2024 года осуществлены закупки у субъектов малого предпринимательства и социально-ориентированных некоммерческих организаций в соответствии с Федеральным законом от 05.04.2013 № 44-ФЗ на сумму 478,86 млн. рублей. Объем таких закупок составил 82 % совокупного годового объема закупок (582,06 млн. руб.).</w:t>
      </w:r>
    </w:p>
    <w:p w:rsidR="00B16EFE" w:rsidRPr="00EA50E9" w:rsidRDefault="00B16EFE" w:rsidP="00B16EFE">
      <w:pPr>
        <w:ind w:firstLine="708"/>
        <w:jc w:val="both"/>
        <w:rPr>
          <w:bCs/>
          <w:sz w:val="26"/>
          <w:szCs w:val="26"/>
        </w:rPr>
      </w:pPr>
      <w:r w:rsidRPr="00EA50E9">
        <w:rPr>
          <w:bCs/>
          <w:sz w:val="26"/>
          <w:szCs w:val="26"/>
        </w:rPr>
        <w:t xml:space="preserve">В администрации города Пыть-Ях с 2020 года функционирует система антимонопольного </w:t>
      </w:r>
      <w:proofErr w:type="spellStart"/>
      <w:r w:rsidRPr="00EA50E9">
        <w:rPr>
          <w:bCs/>
          <w:sz w:val="26"/>
          <w:szCs w:val="26"/>
        </w:rPr>
        <w:t>комплаенса</w:t>
      </w:r>
      <w:proofErr w:type="spellEnd"/>
      <w:r w:rsidRPr="00EA50E9">
        <w:rPr>
          <w:bCs/>
          <w:sz w:val="26"/>
          <w:szCs w:val="26"/>
        </w:rPr>
        <w:t xml:space="preserve">. Внедрен весь комплекс мер, направленных на организацию </w:t>
      </w:r>
      <w:proofErr w:type="spellStart"/>
      <w:r w:rsidRPr="00EA50E9">
        <w:rPr>
          <w:bCs/>
          <w:sz w:val="26"/>
          <w:szCs w:val="26"/>
        </w:rPr>
        <w:t>комплаенса</w:t>
      </w:r>
      <w:proofErr w:type="spellEnd"/>
      <w:r w:rsidRPr="00EA50E9">
        <w:rPr>
          <w:bCs/>
          <w:sz w:val="26"/>
          <w:szCs w:val="26"/>
        </w:rPr>
        <w:t xml:space="preserve">, приняты все необходимые нормативные правовые акты в указанной сфере. </w:t>
      </w:r>
    </w:p>
    <w:p w:rsidR="00D61AD3" w:rsidRPr="00EA50E9" w:rsidRDefault="00D61AD3" w:rsidP="00D61AD3">
      <w:pPr>
        <w:ind w:firstLine="708"/>
        <w:jc w:val="both"/>
        <w:rPr>
          <w:sz w:val="26"/>
          <w:szCs w:val="26"/>
        </w:rPr>
      </w:pPr>
      <w:r w:rsidRPr="00EA50E9">
        <w:rPr>
          <w:sz w:val="26"/>
          <w:szCs w:val="26"/>
        </w:rPr>
        <w:t>Инвестиционная политика города Пыть-Яха направлена на сохранение и наращивание объемов инвестиций в развитие экономики и социальной сферы города за счет эффективного использования бюджетных средств и привлечения иных внебюджетных ресурсов.</w:t>
      </w:r>
    </w:p>
    <w:p w:rsidR="00D61AD3" w:rsidRPr="00EA50E9" w:rsidRDefault="00D61AD3" w:rsidP="00D61AD3">
      <w:pPr>
        <w:ind w:firstLine="708"/>
        <w:jc w:val="both"/>
        <w:rPr>
          <w:sz w:val="26"/>
          <w:szCs w:val="26"/>
        </w:rPr>
      </w:pPr>
      <w:r w:rsidRPr="00EA50E9">
        <w:rPr>
          <w:sz w:val="26"/>
          <w:szCs w:val="26"/>
        </w:rPr>
        <w:t>По оценочным данным за 2024 год объем инвестиций в основной капитал по полному кругу предприятий составит 7 817,8 млн. рублей. В сравнении с АППГ объем инвестиций увеличился на 9%.</w:t>
      </w:r>
    </w:p>
    <w:p w:rsidR="00D61AD3" w:rsidRPr="00CD46EE" w:rsidRDefault="00D61AD3" w:rsidP="00D61AD3">
      <w:pPr>
        <w:ind w:firstLine="708"/>
        <w:jc w:val="both"/>
        <w:rPr>
          <w:sz w:val="26"/>
        </w:rPr>
      </w:pPr>
      <w:r w:rsidRPr="00EA50E9">
        <w:rPr>
          <w:sz w:val="26"/>
        </w:rPr>
        <w:t>Улучшение инвестиционного климата в муниципальном образовании - задача не только местных органов власти, но и естественных монополий, обеспечивающих доступ к важнейшим ресурсам и услугам энергетики, транспорта и связи.</w:t>
      </w:r>
      <w:bookmarkStart w:id="0" w:name="_GoBack"/>
      <w:bookmarkEnd w:id="0"/>
    </w:p>
    <w:sectPr w:rsidR="00D61AD3" w:rsidRPr="00CD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88"/>
    <w:rsid w:val="00002DDE"/>
    <w:rsid w:val="000A074B"/>
    <w:rsid w:val="000C490E"/>
    <w:rsid w:val="00114103"/>
    <w:rsid w:val="001345C6"/>
    <w:rsid w:val="001C3EAC"/>
    <w:rsid w:val="00230401"/>
    <w:rsid w:val="002377C2"/>
    <w:rsid w:val="002458F2"/>
    <w:rsid w:val="00265DB0"/>
    <w:rsid w:val="00307311"/>
    <w:rsid w:val="003B227F"/>
    <w:rsid w:val="00461147"/>
    <w:rsid w:val="00490F1A"/>
    <w:rsid w:val="00490F9E"/>
    <w:rsid w:val="004947F0"/>
    <w:rsid w:val="005018D5"/>
    <w:rsid w:val="0059548F"/>
    <w:rsid w:val="00595A57"/>
    <w:rsid w:val="005A7F18"/>
    <w:rsid w:val="005E3A60"/>
    <w:rsid w:val="00632B31"/>
    <w:rsid w:val="00670B0E"/>
    <w:rsid w:val="006F6438"/>
    <w:rsid w:val="007047E4"/>
    <w:rsid w:val="00792C0E"/>
    <w:rsid w:val="00807821"/>
    <w:rsid w:val="008506EC"/>
    <w:rsid w:val="00854AB4"/>
    <w:rsid w:val="00944F89"/>
    <w:rsid w:val="00964172"/>
    <w:rsid w:val="009E32F7"/>
    <w:rsid w:val="00A03D73"/>
    <w:rsid w:val="00A32916"/>
    <w:rsid w:val="00A705C6"/>
    <w:rsid w:val="00A71B9F"/>
    <w:rsid w:val="00AC1EFD"/>
    <w:rsid w:val="00AD5067"/>
    <w:rsid w:val="00AF1FCC"/>
    <w:rsid w:val="00B01B02"/>
    <w:rsid w:val="00B16EFE"/>
    <w:rsid w:val="00B746E0"/>
    <w:rsid w:val="00B97588"/>
    <w:rsid w:val="00BB6DB9"/>
    <w:rsid w:val="00BF1404"/>
    <w:rsid w:val="00C15217"/>
    <w:rsid w:val="00D4755F"/>
    <w:rsid w:val="00D61AD3"/>
    <w:rsid w:val="00E42825"/>
    <w:rsid w:val="00EA50E9"/>
    <w:rsid w:val="00FC6D9A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82B58-D57F-4332-BEAE-8B5F6C9E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7588"/>
    <w:rPr>
      <w:b/>
      <w:bCs/>
    </w:rPr>
  </w:style>
  <w:style w:type="paragraph" w:styleId="a4">
    <w:name w:val="Body Text"/>
    <w:basedOn w:val="a"/>
    <w:link w:val="1"/>
    <w:rsid w:val="000A074B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0A0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4"/>
    <w:locked/>
    <w:rsid w:val="000A07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29</cp:revision>
  <cp:lastPrinted>2025-02-18T09:07:00Z</cp:lastPrinted>
  <dcterms:created xsi:type="dcterms:W3CDTF">2024-10-21T12:24:00Z</dcterms:created>
  <dcterms:modified xsi:type="dcterms:W3CDTF">2025-02-18T10:16:00Z</dcterms:modified>
</cp:coreProperties>
</file>