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C0C" w:rsidRPr="004F6C0C" w:rsidRDefault="000B4BAD" w:rsidP="004F6C0C">
      <w:pPr>
        <w:ind w:firstLine="0"/>
        <w:jc w:val="center"/>
        <w:rPr>
          <w:b/>
          <w:sz w:val="28"/>
        </w:rPr>
      </w:pPr>
      <w:r w:rsidRPr="002845C3">
        <w:rPr>
          <w:b/>
          <w:sz w:val="28"/>
        </w:rPr>
        <w:t>Информация об исполнении муниципальны</w:t>
      </w:r>
      <w:r w:rsidR="00501579" w:rsidRPr="002845C3">
        <w:rPr>
          <w:b/>
          <w:sz w:val="28"/>
        </w:rPr>
        <w:t>х</w:t>
      </w:r>
      <w:r w:rsidRPr="002845C3">
        <w:rPr>
          <w:b/>
          <w:sz w:val="28"/>
        </w:rPr>
        <w:t xml:space="preserve"> программам </w:t>
      </w:r>
      <w:r w:rsidR="002845C3" w:rsidRPr="002845C3">
        <w:rPr>
          <w:b/>
          <w:sz w:val="28"/>
        </w:rPr>
        <w:t xml:space="preserve">и национальных проектов в городе Пыть-Ях </w:t>
      </w:r>
      <w:r w:rsidR="004F6C0C" w:rsidRPr="004F6C0C">
        <w:rPr>
          <w:b/>
          <w:sz w:val="28"/>
        </w:rPr>
        <w:t xml:space="preserve">по итогам </w:t>
      </w:r>
    </w:p>
    <w:p w:rsidR="004F6C0C" w:rsidRPr="004F6C0C" w:rsidRDefault="00747380" w:rsidP="004F6C0C">
      <w:pPr>
        <w:ind w:firstLine="0"/>
        <w:jc w:val="center"/>
        <w:rPr>
          <w:b/>
          <w:sz w:val="28"/>
        </w:rPr>
      </w:pPr>
      <w:r>
        <w:rPr>
          <w:b/>
          <w:sz w:val="28"/>
        </w:rPr>
        <w:t>1 квартала 2025</w:t>
      </w:r>
      <w:r w:rsidR="004F6C0C" w:rsidRPr="004F6C0C">
        <w:rPr>
          <w:b/>
          <w:sz w:val="28"/>
        </w:rPr>
        <w:t xml:space="preserve"> года</w:t>
      </w:r>
    </w:p>
    <w:p w:rsidR="004D1C3E" w:rsidRPr="002845C3" w:rsidRDefault="004D1C3E" w:rsidP="002845C3">
      <w:pPr>
        <w:ind w:firstLine="0"/>
        <w:jc w:val="center"/>
        <w:rPr>
          <w:b/>
          <w:sz w:val="28"/>
        </w:rPr>
      </w:pPr>
    </w:p>
    <w:p w:rsidR="000B4BAD" w:rsidRPr="0028193C" w:rsidRDefault="004F6C0C" w:rsidP="00A05F10">
      <w:pPr>
        <w:rPr>
          <w:color w:val="FF0000"/>
          <w:sz w:val="28"/>
        </w:rPr>
      </w:pPr>
      <w:r w:rsidRPr="004F6C0C">
        <w:rPr>
          <w:sz w:val="28"/>
        </w:rPr>
        <w:t>В течение 1 квартала 202</w:t>
      </w:r>
      <w:r>
        <w:rPr>
          <w:sz w:val="28"/>
        </w:rPr>
        <w:t>5</w:t>
      </w:r>
      <w:r w:rsidRPr="004F6C0C">
        <w:rPr>
          <w:sz w:val="28"/>
        </w:rPr>
        <w:t xml:space="preserve"> года </w:t>
      </w:r>
      <w:r w:rsidR="000B4BAD" w:rsidRPr="00274ED1">
        <w:rPr>
          <w:sz w:val="28"/>
        </w:rPr>
        <w:t>в городе осуществлял</w:t>
      </w:r>
      <w:r w:rsidR="00735A02">
        <w:rPr>
          <w:sz w:val="28"/>
        </w:rPr>
        <w:t>а</w:t>
      </w:r>
      <w:r w:rsidR="000B4BAD" w:rsidRPr="00274ED1">
        <w:rPr>
          <w:sz w:val="28"/>
        </w:rPr>
        <w:t xml:space="preserve"> реализацию 21 муниципальная программа.</w:t>
      </w:r>
    </w:p>
    <w:p w:rsidR="00D729DA" w:rsidRPr="00160F57" w:rsidRDefault="000B4BAD" w:rsidP="00D729DA">
      <w:pPr>
        <w:rPr>
          <w:sz w:val="28"/>
        </w:rPr>
      </w:pPr>
      <w:r w:rsidRPr="00160F57">
        <w:rPr>
          <w:sz w:val="28"/>
        </w:rPr>
        <w:t xml:space="preserve">Исполнение по муниципальным программам за отчетный период за счет бюджетных средств составило </w:t>
      </w:r>
      <w:r w:rsidR="004F6C0C">
        <w:rPr>
          <w:sz w:val="28"/>
        </w:rPr>
        <w:t>1</w:t>
      </w:r>
      <w:r w:rsidR="00160F57" w:rsidRPr="00160F57">
        <w:rPr>
          <w:sz w:val="28"/>
        </w:rPr>
        <w:t> </w:t>
      </w:r>
      <w:r w:rsidR="004F6C0C">
        <w:rPr>
          <w:sz w:val="28"/>
        </w:rPr>
        <w:t>027</w:t>
      </w:r>
      <w:r w:rsidR="00160F57" w:rsidRPr="00160F57">
        <w:rPr>
          <w:sz w:val="28"/>
        </w:rPr>
        <w:t> </w:t>
      </w:r>
      <w:r w:rsidR="004F6C0C">
        <w:rPr>
          <w:sz w:val="28"/>
        </w:rPr>
        <w:t>985</w:t>
      </w:r>
      <w:r w:rsidR="00160F57" w:rsidRPr="00160F57">
        <w:rPr>
          <w:sz w:val="28"/>
        </w:rPr>
        <w:t>,</w:t>
      </w:r>
      <w:r w:rsidR="004F6C0C">
        <w:rPr>
          <w:sz w:val="28"/>
        </w:rPr>
        <w:t>3</w:t>
      </w:r>
      <w:r w:rsidRPr="00160F57">
        <w:rPr>
          <w:sz w:val="28"/>
        </w:rPr>
        <w:t xml:space="preserve"> тысяч </w:t>
      </w:r>
      <w:r w:rsidR="00D242EE" w:rsidRPr="00160F57">
        <w:rPr>
          <w:sz w:val="28"/>
        </w:rPr>
        <w:t xml:space="preserve">рублей </w:t>
      </w:r>
      <w:r w:rsidR="00160F57" w:rsidRPr="00160F57">
        <w:rPr>
          <w:sz w:val="28"/>
        </w:rPr>
        <w:t>что составляет (</w:t>
      </w:r>
      <w:r w:rsidR="00D242EE" w:rsidRPr="00160F57">
        <w:rPr>
          <w:sz w:val="28"/>
        </w:rPr>
        <w:t>Приложение № 1)</w:t>
      </w:r>
      <w:r w:rsidRPr="00160F57">
        <w:rPr>
          <w:sz w:val="28"/>
        </w:rPr>
        <w:t>:</w:t>
      </w:r>
    </w:p>
    <w:p w:rsidR="00160F57" w:rsidRPr="00160F57" w:rsidRDefault="00160F57" w:rsidP="00160F57">
      <w:pPr>
        <w:rPr>
          <w:sz w:val="28"/>
        </w:rPr>
      </w:pPr>
      <w:r w:rsidRPr="00160F57">
        <w:rPr>
          <w:sz w:val="28"/>
        </w:rPr>
        <w:t xml:space="preserve">- </w:t>
      </w:r>
      <w:r w:rsidR="004F6C0C">
        <w:rPr>
          <w:sz w:val="28"/>
        </w:rPr>
        <w:t>18,8</w:t>
      </w:r>
      <w:r w:rsidRPr="00160F57">
        <w:rPr>
          <w:sz w:val="28"/>
        </w:rPr>
        <w:t>% - к плану по бюджету на 202</w:t>
      </w:r>
      <w:r w:rsidR="004F6C0C">
        <w:rPr>
          <w:sz w:val="28"/>
        </w:rPr>
        <w:t>5</w:t>
      </w:r>
      <w:r w:rsidRPr="00160F57">
        <w:rPr>
          <w:sz w:val="28"/>
        </w:rPr>
        <w:t xml:space="preserve"> год;</w:t>
      </w:r>
    </w:p>
    <w:p w:rsidR="004F6C0C" w:rsidRDefault="00160F57" w:rsidP="00160F57">
      <w:pPr>
        <w:rPr>
          <w:sz w:val="28"/>
        </w:rPr>
      </w:pPr>
      <w:r w:rsidRPr="00735A02">
        <w:rPr>
          <w:sz w:val="28"/>
        </w:rPr>
        <w:t xml:space="preserve">- 100,0% - к общей сумме поступивших средств из федерального, окружного бюджетов в 2024 году, местному бюджету по состоянию на </w:t>
      </w:r>
      <w:r w:rsidR="004F6C0C">
        <w:rPr>
          <w:sz w:val="28"/>
        </w:rPr>
        <w:t>0</w:t>
      </w:r>
      <w:r w:rsidRPr="00735A02">
        <w:rPr>
          <w:sz w:val="28"/>
        </w:rPr>
        <w:t>1.</w:t>
      </w:r>
      <w:r w:rsidR="004F6C0C">
        <w:rPr>
          <w:sz w:val="28"/>
        </w:rPr>
        <w:t>04</w:t>
      </w:r>
      <w:r w:rsidRPr="00735A02">
        <w:rPr>
          <w:sz w:val="28"/>
        </w:rPr>
        <w:t>.202</w:t>
      </w:r>
      <w:r w:rsidR="004F6C0C">
        <w:rPr>
          <w:sz w:val="28"/>
        </w:rPr>
        <w:t>5</w:t>
      </w:r>
      <w:r w:rsidRPr="00735A02">
        <w:rPr>
          <w:sz w:val="28"/>
        </w:rPr>
        <w:t xml:space="preserve"> года</w:t>
      </w:r>
      <w:r w:rsidR="004F6C0C">
        <w:rPr>
          <w:sz w:val="28"/>
        </w:rPr>
        <w:t>;</w:t>
      </w:r>
    </w:p>
    <w:p w:rsidR="00160F57" w:rsidRPr="00735A02" w:rsidRDefault="004F6C0C" w:rsidP="00160F57">
      <w:pPr>
        <w:rPr>
          <w:sz w:val="28"/>
        </w:rPr>
      </w:pPr>
      <w:r w:rsidRPr="00AA3306">
        <w:rPr>
          <w:sz w:val="28"/>
        </w:rPr>
        <w:t xml:space="preserve">- </w:t>
      </w:r>
      <w:r w:rsidR="00AA3306" w:rsidRPr="00AA3306">
        <w:rPr>
          <w:sz w:val="28"/>
        </w:rPr>
        <w:t>101</w:t>
      </w:r>
      <w:r w:rsidRPr="00AA3306">
        <w:rPr>
          <w:sz w:val="28"/>
        </w:rPr>
        <w:t xml:space="preserve">% </w:t>
      </w:r>
      <w:r w:rsidRPr="004F6C0C">
        <w:rPr>
          <w:sz w:val="28"/>
        </w:rPr>
        <w:t>к кассовому плану на 01.04.202</w:t>
      </w:r>
      <w:r>
        <w:rPr>
          <w:sz w:val="28"/>
        </w:rPr>
        <w:t>5</w:t>
      </w:r>
      <w:r w:rsidRPr="004F6C0C">
        <w:rPr>
          <w:sz w:val="28"/>
        </w:rPr>
        <w:t>г.</w:t>
      </w:r>
      <w:r w:rsidR="00160F57" w:rsidRPr="00735A02">
        <w:rPr>
          <w:sz w:val="28"/>
        </w:rPr>
        <w:t>.</w:t>
      </w:r>
    </w:p>
    <w:p w:rsidR="00160F57" w:rsidRPr="00666E71" w:rsidRDefault="00666E71" w:rsidP="002C74A7">
      <w:pPr>
        <w:ind w:firstLine="0"/>
        <w:jc w:val="right"/>
      </w:pPr>
      <w:r w:rsidRPr="00666E71">
        <w:t>тыс. рублей</w:t>
      </w:r>
    </w:p>
    <w:tbl>
      <w:tblPr>
        <w:tblW w:w="9613" w:type="dxa"/>
        <w:tblInd w:w="-5" w:type="dxa"/>
        <w:tblLook w:val="04A0" w:firstRow="1" w:lastRow="0" w:firstColumn="1" w:lastColumn="0" w:noHBand="0" w:noVBand="1"/>
      </w:tblPr>
      <w:tblGrid>
        <w:gridCol w:w="2552"/>
        <w:gridCol w:w="2018"/>
        <w:gridCol w:w="1730"/>
        <w:gridCol w:w="1690"/>
        <w:gridCol w:w="1623"/>
      </w:tblGrid>
      <w:tr w:rsidR="00160F57" w:rsidRPr="00160F57" w:rsidTr="002B6F71">
        <w:trPr>
          <w:trHeight w:val="5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2C74A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F57" w:rsidRPr="00160F57" w:rsidRDefault="00160F57" w:rsidP="004B0CE2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 xml:space="preserve">на 31 </w:t>
            </w:r>
            <w:r w:rsidR="004B0CE2">
              <w:rPr>
                <w:rFonts w:eastAsia="Times New Roman" w:cs="Times New Roman"/>
                <w:bCs/>
                <w:szCs w:val="20"/>
                <w:lang w:eastAsia="ru-RU"/>
              </w:rPr>
              <w:t>марта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 xml:space="preserve"> 202</w:t>
            </w:r>
            <w:r w:rsidR="004B0CE2">
              <w:rPr>
                <w:rFonts w:eastAsia="Times New Roman" w:cs="Times New Roman"/>
                <w:bCs/>
                <w:szCs w:val="20"/>
                <w:lang w:eastAsia="ru-RU"/>
              </w:rPr>
              <w:t>5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года</w:t>
            </w:r>
          </w:p>
        </w:tc>
      </w:tr>
      <w:tr w:rsidR="00160F57" w:rsidRPr="002845C3" w:rsidTr="002B6F71">
        <w:trPr>
          <w:trHeight w:val="5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F57" w:rsidRPr="00160F57" w:rsidRDefault="00160F57" w:rsidP="002C74A7">
            <w:pPr>
              <w:ind w:firstLine="0"/>
              <w:jc w:val="lef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2C74A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 xml:space="preserve">План по программе 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br/>
              <w:t>(с изменениями)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2C74A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Уточне</w:t>
            </w:r>
            <w:r w:rsidRPr="002845C3">
              <w:rPr>
                <w:rFonts w:eastAsia="Times New Roman" w:cs="Times New Roman"/>
                <w:bCs/>
                <w:szCs w:val="20"/>
                <w:lang w:eastAsia="ru-RU"/>
              </w:rPr>
              <w:t>н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ный план по бюджету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2C74A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2C74A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Процент исполнения</w:t>
            </w:r>
          </w:p>
        </w:tc>
      </w:tr>
      <w:tr w:rsidR="002B6F71" w:rsidRPr="002845C3" w:rsidTr="002B6F71">
        <w:trPr>
          <w:trHeight w:val="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71" w:rsidRPr="00B63170" w:rsidRDefault="002B6F71" w:rsidP="002B6F71">
            <w:pPr>
              <w:ind w:firstLine="0"/>
            </w:pPr>
            <w:r w:rsidRPr="00B63170">
              <w:t>Федеральный бюджет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128 278,6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139 902,6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20 301,3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14,5 </w:t>
            </w:r>
          </w:p>
        </w:tc>
      </w:tr>
      <w:tr w:rsidR="002B6F71" w:rsidRPr="002845C3" w:rsidTr="002B6F71">
        <w:trPr>
          <w:trHeight w:val="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71" w:rsidRPr="00B63170" w:rsidRDefault="002B6F71" w:rsidP="002B6F71">
            <w:pPr>
              <w:ind w:firstLine="0"/>
            </w:pPr>
            <w:r w:rsidRPr="00B63170">
              <w:t>Бюджет автономного округа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2 228 454,8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2 526 462,0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432 165,8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17,1 </w:t>
            </w:r>
          </w:p>
        </w:tc>
      </w:tr>
      <w:tr w:rsidR="002B6F71" w:rsidRPr="002845C3" w:rsidTr="002B6F71">
        <w:trPr>
          <w:trHeight w:val="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71" w:rsidRDefault="002B6F71" w:rsidP="002B6F71">
            <w:pPr>
              <w:ind w:firstLine="0"/>
            </w:pPr>
            <w:r w:rsidRPr="00B63170">
              <w:t>Местный бюджет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2 630 723,5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2 809 236,7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575 518,2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F71" w:rsidRDefault="002B6F71" w:rsidP="002B6F71">
            <w:pPr>
              <w:ind w:firstLine="0"/>
              <w:jc w:val="center"/>
            </w:pPr>
            <w:r>
              <w:t xml:space="preserve">20,5 </w:t>
            </w:r>
          </w:p>
        </w:tc>
      </w:tr>
      <w:tr w:rsidR="002C74A7" w:rsidRPr="002845C3" w:rsidTr="002B6F71">
        <w:trPr>
          <w:trHeight w:val="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4A7" w:rsidRPr="00160F57" w:rsidRDefault="002B6F71" w:rsidP="002C74A7">
            <w:pPr>
              <w:ind w:firstLine="0"/>
              <w:rPr>
                <w:rFonts w:eastAsia="Times New Roman" w:cs="Times New Roman"/>
                <w:bCs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Cs w:val="20"/>
                <w:lang w:eastAsia="ru-RU"/>
              </w:rPr>
              <w:t>В</w:t>
            </w:r>
            <w:r w:rsidR="002C74A7" w:rsidRPr="00160F57">
              <w:rPr>
                <w:rFonts w:eastAsia="Times New Roman" w:cs="Times New Roman"/>
                <w:bCs/>
                <w:szCs w:val="20"/>
                <w:lang w:eastAsia="ru-RU"/>
              </w:rPr>
              <w:t>сего: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4A7" w:rsidRPr="002C74A7" w:rsidRDefault="002C74A7" w:rsidP="002C74A7">
            <w:pPr>
              <w:ind w:firstLine="0"/>
              <w:jc w:val="center"/>
              <w:rPr>
                <w:bCs/>
              </w:rPr>
            </w:pPr>
            <w:r w:rsidRPr="002C74A7">
              <w:rPr>
                <w:bCs/>
              </w:rPr>
              <w:t xml:space="preserve">5 086 762,8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4A7" w:rsidRPr="002C74A7" w:rsidRDefault="002C74A7" w:rsidP="002C74A7">
            <w:pPr>
              <w:ind w:firstLine="0"/>
              <w:jc w:val="center"/>
              <w:rPr>
                <w:bCs/>
              </w:rPr>
            </w:pPr>
            <w:r w:rsidRPr="002C74A7">
              <w:rPr>
                <w:bCs/>
              </w:rPr>
              <w:t xml:space="preserve">5 475 601,3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4A7" w:rsidRPr="002C74A7" w:rsidRDefault="002C74A7" w:rsidP="002C74A7">
            <w:pPr>
              <w:ind w:firstLine="0"/>
              <w:jc w:val="center"/>
              <w:rPr>
                <w:bCs/>
              </w:rPr>
            </w:pPr>
            <w:r w:rsidRPr="002C74A7">
              <w:rPr>
                <w:bCs/>
              </w:rPr>
              <w:t xml:space="preserve">1 027 985,3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4A7" w:rsidRPr="002C74A7" w:rsidRDefault="002C74A7" w:rsidP="002C74A7">
            <w:pPr>
              <w:ind w:firstLine="0"/>
              <w:jc w:val="center"/>
              <w:rPr>
                <w:bCs/>
              </w:rPr>
            </w:pPr>
            <w:r w:rsidRPr="002C74A7">
              <w:rPr>
                <w:bCs/>
              </w:rPr>
              <w:t xml:space="preserve">18,8 </w:t>
            </w:r>
          </w:p>
        </w:tc>
      </w:tr>
    </w:tbl>
    <w:p w:rsidR="00160F57" w:rsidRDefault="00160F57" w:rsidP="00160F57">
      <w:pPr>
        <w:rPr>
          <w:color w:val="FF0000"/>
          <w:sz w:val="28"/>
        </w:rPr>
      </w:pPr>
    </w:p>
    <w:p w:rsidR="00AF7992" w:rsidRPr="00AF7992" w:rsidRDefault="00301C79" w:rsidP="00AF7992">
      <w:pPr>
        <w:rPr>
          <w:sz w:val="28"/>
        </w:rPr>
      </w:pPr>
      <w:r w:rsidRPr="00AF7992">
        <w:rPr>
          <w:sz w:val="28"/>
        </w:rPr>
        <w:t xml:space="preserve">Уровень исполнения расходных обязательств к кассовому плану </w:t>
      </w:r>
      <w:r w:rsidR="00AF7992" w:rsidRPr="00AF7992">
        <w:rPr>
          <w:sz w:val="28"/>
        </w:rPr>
        <w:t>(</w:t>
      </w:r>
      <w:r w:rsidRPr="00AF7992">
        <w:rPr>
          <w:sz w:val="28"/>
        </w:rPr>
        <w:t>1 019 432,5 тыс. руб.</w:t>
      </w:r>
      <w:r w:rsidR="00AF7992" w:rsidRPr="00AF7992">
        <w:rPr>
          <w:sz w:val="28"/>
        </w:rPr>
        <w:t>)</w:t>
      </w:r>
      <w:r w:rsidRPr="00AF7992">
        <w:rPr>
          <w:sz w:val="28"/>
        </w:rPr>
        <w:t xml:space="preserve"> составил 100,8% по муниципальным программам (приложение № </w:t>
      </w:r>
      <w:r w:rsidR="00AF7992">
        <w:rPr>
          <w:sz w:val="28"/>
        </w:rPr>
        <w:t>2</w:t>
      </w:r>
      <w:r w:rsidRPr="00AF7992">
        <w:rPr>
          <w:sz w:val="28"/>
        </w:rPr>
        <w:t>).</w:t>
      </w:r>
    </w:p>
    <w:p w:rsidR="00301C79" w:rsidRDefault="00301C79" w:rsidP="00160F57">
      <w:pPr>
        <w:rPr>
          <w:color w:val="FF0000"/>
          <w:sz w:val="28"/>
        </w:rPr>
      </w:pPr>
    </w:p>
    <w:p w:rsidR="00C765FC" w:rsidRPr="00B82588" w:rsidRDefault="00C765FC" w:rsidP="00A05F10">
      <w:pPr>
        <w:rPr>
          <w:sz w:val="28"/>
        </w:rPr>
      </w:pPr>
      <w:r w:rsidRPr="00B82588">
        <w:rPr>
          <w:sz w:val="28"/>
        </w:rPr>
        <w:t>Целевые показатели:</w:t>
      </w:r>
    </w:p>
    <w:p w:rsidR="000B4BAD" w:rsidRPr="004B0CE2" w:rsidRDefault="000B4BAD" w:rsidP="00A05F10">
      <w:pPr>
        <w:rPr>
          <w:sz w:val="28"/>
        </w:rPr>
      </w:pPr>
      <w:r w:rsidRPr="00B82588">
        <w:rPr>
          <w:sz w:val="28"/>
        </w:rPr>
        <w:t>Оценка степени достижения целе</w:t>
      </w:r>
      <w:r w:rsidR="00B5588C" w:rsidRPr="00B82588">
        <w:rPr>
          <w:sz w:val="28"/>
        </w:rPr>
        <w:t xml:space="preserve">вых показателей проведена по </w:t>
      </w:r>
      <w:r w:rsidR="00B82588" w:rsidRPr="00B82588">
        <w:rPr>
          <w:sz w:val="28"/>
        </w:rPr>
        <w:t>9</w:t>
      </w:r>
      <w:r w:rsidR="00AA3306">
        <w:rPr>
          <w:sz w:val="28"/>
        </w:rPr>
        <w:t>5</w:t>
      </w:r>
      <w:r w:rsidR="00B5588C" w:rsidRPr="00B82588">
        <w:rPr>
          <w:sz w:val="28"/>
        </w:rPr>
        <w:t xml:space="preserve"> </w:t>
      </w:r>
      <w:r w:rsidR="00B5588C" w:rsidRPr="004B0CE2">
        <w:rPr>
          <w:sz w:val="28"/>
        </w:rPr>
        <w:t>показател</w:t>
      </w:r>
      <w:r w:rsidR="00B279BC" w:rsidRPr="004B0CE2">
        <w:rPr>
          <w:sz w:val="28"/>
        </w:rPr>
        <w:t>ям</w:t>
      </w:r>
      <w:r w:rsidR="00C765FC" w:rsidRPr="004B0CE2">
        <w:rPr>
          <w:sz w:val="28"/>
        </w:rPr>
        <w:t xml:space="preserve"> (Приложение </w:t>
      </w:r>
      <w:r w:rsidR="003A29A6" w:rsidRPr="004B0CE2">
        <w:rPr>
          <w:sz w:val="28"/>
        </w:rPr>
        <w:t xml:space="preserve">№ </w:t>
      </w:r>
      <w:r w:rsidR="002A6FDD">
        <w:rPr>
          <w:sz w:val="28"/>
        </w:rPr>
        <w:t>3</w:t>
      </w:r>
      <w:r w:rsidR="00C765FC" w:rsidRPr="004B0CE2">
        <w:rPr>
          <w:sz w:val="28"/>
        </w:rPr>
        <w:t>)</w:t>
      </w:r>
      <w:r w:rsidRPr="004B0CE2">
        <w:rPr>
          <w:sz w:val="28"/>
        </w:rPr>
        <w:t>:</w:t>
      </w:r>
    </w:p>
    <w:p w:rsidR="000B4BAD" w:rsidRPr="004B0CE2" w:rsidRDefault="000B4BAD" w:rsidP="00A05F10">
      <w:pPr>
        <w:rPr>
          <w:sz w:val="28"/>
        </w:rPr>
      </w:pPr>
      <w:r w:rsidRPr="004B0CE2">
        <w:rPr>
          <w:sz w:val="28"/>
        </w:rPr>
        <w:t xml:space="preserve">­ по </w:t>
      </w:r>
      <w:r w:rsidR="004B0CE2" w:rsidRPr="004B0CE2">
        <w:rPr>
          <w:sz w:val="28"/>
        </w:rPr>
        <w:t>35</w:t>
      </w:r>
      <w:r w:rsidRPr="004B0CE2">
        <w:rPr>
          <w:sz w:val="28"/>
        </w:rPr>
        <w:t xml:space="preserve"> показателям достигнуто запланированное годовое значение;</w:t>
      </w:r>
    </w:p>
    <w:p w:rsidR="00B82588" w:rsidRPr="004B0CE2" w:rsidRDefault="00B82588" w:rsidP="00B82588">
      <w:pPr>
        <w:rPr>
          <w:sz w:val="28"/>
        </w:rPr>
      </w:pPr>
      <w:r w:rsidRPr="004B0CE2">
        <w:rPr>
          <w:sz w:val="28"/>
        </w:rPr>
        <w:t xml:space="preserve">­ по </w:t>
      </w:r>
      <w:r w:rsidR="004B0CE2" w:rsidRPr="004B0CE2">
        <w:rPr>
          <w:sz w:val="28"/>
        </w:rPr>
        <w:t>12</w:t>
      </w:r>
      <w:r w:rsidRPr="004B0CE2">
        <w:rPr>
          <w:sz w:val="28"/>
        </w:rPr>
        <w:t xml:space="preserve"> показателям фактическое значение составляет 50% и выше:</w:t>
      </w:r>
    </w:p>
    <w:p w:rsidR="00B82588" w:rsidRPr="004B0CE2" w:rsidRDefault="00B82588" w:rsidP="00B82588">
      <w:pPr>
        <w:rPr>
          <w:sz w:val="28"/>
        </w:rPr>
      </w:pPr>
      <w:r w:rsidRPr="004B0CE2">
        <w:rPr>
          <w:sz w:val="28"/>
        </w:rPr>
        <w:t xml:space="preserve">- по </w:t>
      </w:r>
      <w:r w:rsidR="004B0CE2" w:rsidRPr="004B0CE2">
        <w:rPr>
          <w:sz w:val="28"/>
        </w:rPr>
        <w:t>48</w:t>
      </w:r>
      <w:r w:rsidRPr="004B0CE2">
        <w:rPr>
          <w:sz w:val="28"/>
        </w:rPr>
        <w:t xml:space="preserve"> показател</w:t>
      </w:r>
      <w:r w:rsidR="004B0CE2" w:rsidRPr="004B0CE2">
        <w:rPr>
          <w:sz w:val="28"/>
        </w:rPr>
        <w:t>ям</w:t>
      </w:r>
      <w:r w:rsidRPr="004B0CE2">
        <w:rPr>
          <w:sz w:val="28"/>
        </w:rPr>
        <w:t xml:space="preserve"> фактическое значение составляет менее 50%: </w:t>
      </w:r>
    </w:p>
    <w:p w:rsidR="00B82588" w:rsidRDefault="00B82588" w:rsidP="00B82588">
      <w:pPr>
        <w:rPr>
          <w:sz w:val="28"/>
        </w:rPr>
      </w:pPr>
      <w:r w:rsidRPr="004B0CE2">
        <w:rPr>
          <w:sz w:val="28"/>
        </w:rPr>
        <w:t xml:space="preserve"> Средний процент достижения целевых показателей в целом по всем программам составляет </w:t>
      </w:r>
      <w:r w:rsidR="004B0CE2" w:rsidRPr="004B0CE2">
        <w:rPr>
          <w:sz w:val="28"/>
        </w:rPr>
        <w:t>62</w:t>
      </w:r>
      <w:r w:rsidR="00C316E2" w:rsidRPr="004B0CE2">
        <w:rPr>
          <w:sz w:val="28"/>
        </w:rPr>
        <w:t>%</w:t>
      </w:r>
      <w:r w:rsidRPr="004B0CE2">
        <w:rPr>
          <w:sz w:val="28"/>
        </w:rPr>
        <w:t xml:space="preserve"> к плану.</w:t>
      </w:r>
    </w:p>
    <w:p w:rsidR="00301C79" w:rsidRPr="00301C79" w:rsidRDefault="00301C79" w:rsidP="00301C79">
      <w:pPr>
        <w:rPr>
          <w:sz w:val="28"/>
        </w:rPr>
      </w:pPr>
      <w:r w:rsidRPr="00301C79">
        <w:rPr>
          <w:sz w:val="28"/>
        </w:rPr>
        <w:t>Уровень исполнения значений целевых показателей к прогнозу достижения значений целевых показателей на 01.04.202</w:t>
      </w:r>
      <w:r w:rsidR="00AF7992">
        <w:rPr>
          <w:sz w:val="28"/>
        </w:rPr>
        <w:t>5</w:t>
      </w:r>
      <w:r w:rsidRPr="00301C79">
        <w:rPr>
          <w:sz w:val="28"/>
        </w:rPr>
        <w:t xml:space="preserve">г. </w:t>
      </w:r>
      <w:r w:rsidRPr="00197E6A">
        <w:rPr>
          <w:sz w:val="28"/>
        </w:rPr>
        <w:t xml:space="preserve">– </w:t>
      </w:r>
      <w:r w:rsidR="00197E6A" w:rsidRPr="00197E6A">
        <w:rPr>
          <w:sz w:val="28"/>
        </w:rPr>
        <w:t>89</w:t>
      </w:r>
      <w:r w:rsidRPr="00197E6A">
        <w:rPr>
          <w:sz w:val="28"/>
        </w:rPr>
        <w:t>%</w:t>
      </w:r>
      <w:r w:rsidRPr="00301C79">
        <w:rPr>
          <w:sz w:val="28"/>
        </w:rPr>
        <w:t xml:space="preserve"> (Приложение № </w:t>
      </w:r>
      <w:r w:rsidR="00831140">
        <w:rPr>
          <w:sz w:val="28"/>
        </w:rPr>
        <w:t>4</w:t>
      </w:r>
      <w:r w:rsidRPr="00301C79">
        <w:rPr>
          <w:sz w:val="28"/>
        </w:rPr>
        <w:t xml:space="preserve">). </w:t>
      </w:r>
    </w:p>
    <w:p w:rsidR="000B6D07" w:rsidRPr="00747380" w:rsidRDefault="000B6D07" w:rsidP="00D729DA">
      <w:pPr>
        <w:rPr>
          <w:color w:val="FF0000"/>
          <w:sz w:val="28"/>
        </w:rPr>
      </w:pPr>
    </w:p>
    <w:p w:rsidR="00D729DA" w:rsidRPr="004B0CE2" w:rsidRDefault="00D729DA" w:rsidP="00D729DA">
      <w:pPr>
        <w:rPr>
          <w:sz w:val="28"/>
        </w:rPr>
      </w:pPr>
      <w:r w:rsidRPr="004B0CE2">
        <w:rPr>
          <w:sz w:val="28"/>
        </w:rPr>
        <w:t>В государственных програм</w:t>
      </w:r>
      <w:r w:rsidR="002845C3" w:rsidRPr="004B0CE2">
        <w:rPr>
          <w:sz w:val="28"/>
        </w:rPr>
        <w:t xml:space="preserve">мах муниципалитету установлено </w:t>
      </w:r>
      <w:r w:rsidR="004B0CE2" w:rsidRPr="004B0CE2">
        <w:rPr>
          <w:sz w:val="28"/>
        </w:rPr>
        <w:t>7</w:t>
      </w:r>
      <w:r w:rsidRPr="004B0CE2">
        <w:rPr>
          <w:sz w:val="28"/>
        </w:rPr>
        <w:t xml:space="preserve"> целевых показателей, из них (приложение № </w:t>
      </w:r>
      <w:r w:rsidR="00831140">
        <w:rPr>
          <w:sz w:val="28"/>
        </w:rPr>
        <w:t>5</w:t>
      </w:r>
      <w:r w:rsidRPr="004B0CE2">
        <w:rPr>
          <w:sz w:val="28"/>
        </w:rPr>
        <w:t>):</w:t>
      </w:r>
    </w:p>
    <w:p w:rsidR="004B0CE2" w:rsidRPr="004B0CE2" w:rsidRDefault="004B0CE2" w:rsidP="004B0CE2">
      <w:pPr>
        <w:rPr>
          <w:sz w:val="28"/>
        </w:rPr>
      </w:pPr>
      <w:r w:rsidRPr="004B0CE2">
        <w:rPr>
          <w:sz w:val="28"/>
        </w:rPr>
        <w:t xml:space="preserve">- 1 показателя, направленных на достижение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</w:t>
      </w:r>
      <w:r w:rsidRPr="004B0CE2">
        <w:rPr>
          <w:sz w:val="28"/>
        </w:rPr>
        <w:lastRenderedPageBreak/>
        <w:t xml:space="preserve">Федерации </w:t>
      </w:r>
      <w:r w:rsidRPr="004B0CE2">
        <w:rPr>
          <w:i/>
          <w:sz w:val="26"/>
          <w:szCs w:val="26"/>
        </w:rPr>
        <w:t>(Темп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– 131%)</w:t>
      </w:r>
      <w:r w:rsidRPr="004B0CE2">
        <w:rPr>
          <w:sz w:val="28"/>
        </w:rPr>
        <w:t>;</w:t>
      </w:r>
    </w:p>
    <w:p w:rsidR="004B0CE2" w:rsidRPr="004B0CE2" w:rsidRDefault="004B0CE2" w:rsidP="004B0CE2">
      <w:pPr>
        <w:rPr>
          <w:sz w:val="28"/>
        </w:rPr>
      </w:pPr>
      <w:r w:rsidRPr="004B0CE2">
        <w:rPr>
          <w:sz w:val="28"/>
        </w:rPr>
        <w:t xml:space="preserve">- 4 показателя, направленных на достижение показателей национального проекта </w:t>
      </w:r>
      <w:r w:rsidRPr="004B0CE2">
        <w:rPr>
          <w:i/>
          <w:sz w:val="26"/>
          <w:szCs w:val="26"/>
        </w:rPr>
        <w:t>(Число посещений культурных мероприятий – 24%;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– 0%; Доля детей в возрасте от 5 до 18 лет, охваченных дополнительным образованием – 88,7%; Объем жилищного строительств – 44%)</w:t>
      </w:r>
      <w:r w:rsidRPr="004B0CE2">
        <w:rPr>
          <w:sz w:val="28"/>
        </w:rPr>
        <w:t>;</w:t>
      </w:r>
    </w:p>
    <w:p w:rsidR="004B0CE2" w:rsidRPr="004B0CE2" w:rsidRDefault="004B0CE2" w:rsidP="004B0CE2">
      <w:pPr>
        <w:rPr>
          <w:sz w:val="28"/>
        </w:rPr>
      </w:pPr>
      <w:r w:rsidRPr="004B0CE2">
        <w:rPr>
          <w:sz w:val="28"/>
        </w:rPr>
        <w:t xml:space="preserve">- 2 иных показателей </w:t>
      </w:r>
      <w:r w:rsidRPr="004B0CE2">
        <w:rPr>
          <w:i/>
          <w:sz w:val="26"/>
          <w:szCs w:val="26"/>
        </w:rPr>
        <w:t>(Доля граждан, систематически занимающихся физической культурой и спортом – 95%; Уровень обеспеченности населения спортивными сооружениями исходя из единовременной пропускной способности объектов спорта – 99%)</w:t>
      </w:r>
      <w:r w:rsidRPr="004B0CE2">
        <w:rPr>
          <w:sz w:val="28"/>
        </w:rPr>
        <w:t>.</w:t>
      </w:r>
    </w:p>
    <w:p w:rsidR="004B0CE2" w:rsidRPr="004B0CE2" w:rsidRDefault="004B0CE2" w:rsidP="004B0CE2">
      <w:pPr>
        <w:rPr>
          <w:sz w:val="28"/>
        </w:rPr>
      </w:pPr>
      <w:r w:rsidRPr="004B0CE2">
        <w:rPr>
          <w:sz w:val="28"/>
        </w:rPr>
        <w:t>По состоянию на 1 апреля 2025 года в полном объеме достигнут 1 показатель 6 показателей находятся в работе.</w:t>
      </w:r>
    </w:p>
    <w:p w:rsidR="004B0CE2" w:rsidRPr="004B0CE2" w:rsidRDefault="004B0CE2" w:rsidP="004B0CE2">
      <w:pPr>
        <w:rPr>
          <w:sz w:val="28"/>
        </w:rPr>
      </w:pPr>
      <w:r w:rsidRPr="004B0CE2">
        <w:rPr>
          <w:sz w:val="28"/>
        </w:rPr>
        <w:t xml:space="preserve">Риски </w:t>
      </w:r>
      <w:proofErr w:type="spellStart"/>
      <w:r w:rsidRPr="004B0CE2">
        <w:rPr>
          <w:sz w:val="28"/>
        </w:rPr>
        <w:t>недостижения</w:t>
      </w:r>
      <w:proofErr w:type="spellEnd"/>
      <w:r w:rsidRPr="004B0CE2">
        <w:rPr>
          <w:sz w:val="28"/>
        </w:rPr>
        <w:t xml:space="preserve"> показателей отсутствует. </w:t>
      </w:r>
    </w:p>
    <w:p w:rsidR="004B0CE2" w:rsidRPr="00747380" w:rsidRDefault="004B0CE2" w:rsidP="00D729DA">
      <w:pPr>
        <w:rPr>
          <w:color w:val="FF0000"/>
          <w:sz w:val="28"/>
        </w:rPr>
      </w:pPr>
    </w:p>
    <w:p w:rsidR="002845C3" w:rsidRPr="002B6F71" w:rsidRDefault="002845C3" w:rsidP="00A05F10">
      <w:pPr>
        <w:rPr>
          <w:sz w:val="28"/>
          <w:szCs w:val="28"/>
        </w:rPr>
      </w:pPr>
      <w:r w:rsidRPr="002B6F71">
        <w:rPr>
          <w:sz w:val="28"/>
          <w:szCs w:val="28"/>
        </w:rPr>
        <w:t>Национальные проекты:</w:t>
      </w:r>
    </w:p>
    <w:p w:rsidR="002B6F71" w:rsidRPr="002B6F71" w:rsidRDefault="002B6F71" w:rsidP="002B6F71">
      <w:pPr>
        <w:widowControl w:val="0"/>
        <w:autoSpaceDE w:val="0"/>
        <w:autoSpaceDN w:val="0"/>
        <w:spacing w:line="276" w:lineRule="auto"/>
        <w:rPr>
          <w:rFonts w:eastAsia="Calibri" w:cs="Times New Roman"/>
          <w:sz w:val="28"/>
          <w:szCs w:val="26"/>
          <w:lang w:eastAsia="ru-RU"/>
        </w:rPr>
      </w:pPr>
      <w:r w:rsidRPr="002B6F71">
        <w:rPr>
          <w:rFonts w:eastAsia="Times New Roman" w:cs="Times New Roman"/>
          <w:sz w:val="28"/>
          <w:szCs w:val="26"/>
          <w:lang w:eastAsia="ru-RU"/>
        </w:rPr>
        <w:t>В 2025 году на территории города Пыть-Яха в рамках 4 национальных проектов реализуются 9 региональных проектов, осуществляемых посредством выполнения мероприятий и достижения показателей 6 муниципальных программ</w:t>
      </w:r>
      <w:r w:rsidRPr="002B6F71">
        <w:rPr>
          <w:rFonts w:eastAsia="Calibri" w:cs="Times New Roman"/>
          <w:sz w:val="28"/>
          <w:szCs w:val="26"/>
          <w:lang w:eastAsia="ru-RU"/>
        </w:rPr>
        <w:t xml:space="preserve"> (приложение № </w:t>
      </w:r>
      <w:r w:rsidR="00831140">
        <w:rPr>
          <w:rFonts w:eastAsia="Calibri" w:cs="Times New Roman"/>
          <w:sz w:val="28"/>
          <w:szCs w:val="26"/>
          <w:lang w:eastAsia="ru-RU"/>
        </w:rPr>
        <w:t>6</w:t>
      </w:r>
      <w:r w:rsidRPr="002B6F71">
        <w:rPr>
          <w:rFonts w:eastAsia="Calibri" w:cs="Times New Roman"/>
          <w:sz w:val="28"/>
          <w:szCs w:val="26"/>
          <w:lang w:eastAsia="ru-RU"/>
        </w:rPr>
        <w:t>).</w:t>
      </w:r>
    </w:p>
    <w:p w:rsidR="002B6F71" w:rsidRPr="002B6F71" w:rsidRDefault="002B6F71" w:rsidP="002B6F71">
      <w:pPr>
        <w:spacing w:line="276" w:lineRule="auto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>На реализацию национальных проектов в 2025 году предусмотрено 225,5 млн.  рублей. Исполнение на отчетную дату составило 22,8 млн. рублей или 10,1% к плану.</w:t>
      </w:r>
    </w:p>
    <w:p w:rsidR="002B6F71" w:rsidRPr="002B6F71" w:rsidRDefault="002B6F71" w:rsidP="002B6F71">
      <w:pPr>
        <w:ind w:firstLine="0"/>
        <w:jc w:val="right"/>
        <w:rPr>
          <w:rFonts w:cs="Times New Roman"/>
          <w:szCs w:val="26"/>
        </w:rPr>
      </w:pPr>
      <w:r w:rsidRPr="002B6F71">
        <w:rPr>
          <w:rFonts w:cs="Times New Roman"/>
          <w:szCs w:val="26"/>
        </w:rPr>
        <w:t xml:space="preserve">        тыс. рублей</w:t>
      </w:r>
    </w:p>
    <w:tbl>
      <w:tblPr>
        <w:tblStyle w:val="2"/>
        <w:tblW w:w="9634" w:type="dxa"/>
        <w:tblLook w:val="04A0" w:firstRow="1" w:lastRow="0" w:firstColumn="1" w:lastColumn="0" w:noHBand="0" w:noVBand="1"/>
      </w:tblPr>
      <w:tblGrid>
        <w:gridCol w:w="4957"/>
        <w:gridCol w:w="1701"/>
        <w:gridCol w:w="1559"/>
        <w:gridCol w:w="1417"/>
      </w:tblGrid>
      <w:tr w:rsidR="002B6F71" w:rsidRPr="002B6F71" w:rsidTr="002B6F71">
        <w:trPr>
          <w:trHeight w:val="57"/>
        </w:trPr>
        <w:tc>
          <w:tcPr>
            <w:tcW w:w="4957" w:type="dxa"/>
            <w:vMerge w:val="restart"/>
          </w:tcPr>
          <w:p w:rsidR="002B6F71" w:rsidRPr="002B6F71" w:rsidRDefault="002B6F71" w:rsidP="002B6F71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2976" w:type="dxa"/>
            <w:gridSpan w:val="2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Исполнено</w:t>
            </w:r>
          </w:p>
        </w:tc>
      </w:tr>
      <w:tr w:rsidR="002B6F71" w:rsidRPr="002B6F71" w:rsidTr="002B6F71">
        <w:trPr>
          <w:trHeight w:val="57"/>
        </w:trPr>
        <w:tc>
          <w:tcPr>
            <w:tcW w:w="4957" w:type="dxa"/>
            <w:vMerge/>
          </w:tcPr>
          <w:p w:rsidR="002B6F71" w:rsidRPr="002B6F71" w:rsidRDefault="002B6F71" w:rsidP="002B6F71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%</w:t>
            </w:r>
          </w:p>
        </w:tc>
      </w:tr>
      <w:tr w:rsidR="002B6F71" w:rsidRPr="002B6F71" w:rsidTr="002B6F71">
        <w:trPr>
          <w:trHeight w:val="57"/>
        </w:trPr>
        <w:tc>
          <w:tcPr>
            <w:tcW w:w="4957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 xml:space="preserve">Всего, </w:t>
            </w:r>
            <w:r w:rsidRPr="002B6F71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225 517,6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22 841,6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10,1</w:t>
            </w:r>
          </w:p>
        </w:tc>
      </w:tr>
      <w:tr w:rsidR="002B6F71" w:rsidRPr="002B6F71" w:rsidTr="002B6F71">
        <w:trPr>
          <w:trHeight w:val="57"/>
        </w:trPr>
        <w:tc>
          <w:tcPr>
            <w:tcW w:w="4957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- за счет средств федерального бюджета</w:t>
            </w:r>
          </w:p>
        </w:tc>
        <w:tc>
          <w:tcPr>
            <w:tcW w:w="1701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83 013,3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15 477,3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18,6</w:t>
            </w:r>
          </w:p>
        </w:tc>
      </w:tr>
      <w:tr w:rsidR="002B6F71" w:rsidRPr="002B6F71" w:rsidTr="002B6F71">
        <w:trPr>
          <w:trHeight w:val="57"/>
        </w:trPr>
        <w:tc>
          <w:tcPr>
            <w:tcW w:w="4957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113 161,5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3 526,7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3,1</w:t>
            </w:r>
          </w:p>
        </w:tc>
      </w:tr>
      <w:tr w:rsidR="002B6F71" w:rsidRPr="002B6F71" w:rsidTr="002B6F71">
        <w:trPr>
          <w:trHeight w:val="57"/>
        </w:trPr>
        <w:tc>
          <w:tcPr>
            <w:tcW w:w="4957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29 342,8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3 837,6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13,1</w:t>
            </w:r>
          </w:p>
        </w:tc>
      </w:tr>
    </w:tbl>
    <w:p w:rsidR="002B6F71" w:rsidRPr="002B6F71" w:rsidRDefault="002B6F71" w:rsidP="002B6F71">
      <w:pPr>
        <w:ind w:firstLine="0"/>
        <w:jc w:val="left"/>
        <w:rPr>
          <w:rFonts w:cs="Times New Roman"/>
          <w:b/>
          <w:color w:val="FF0000"/>
          <w:sz w:val="26"/>
          <w:szCs w:val="26"/>
        </w:rPr>
      </w:pPr>
    </w:p>
    <w:p w:rsidR="002B6F71" w:rsidRPr="002B6F71" w:rsidRDefault="002B6F71" w:rsidP="002B6F71">
      <w:pPr>
        <w:ind w:firstLine="708"/>
        <w:jc w:val="left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>В разрезе национальных проектов:</w:t>
      </w:r>
    </w:p>
    <w:p w:rsidR="002B6F71" w:rsidRPr="002B6F71" w:rsidRDefault="002B6F71" w:rsidP="002B6F71">
      <w:pPr>
        <w:ind w:firstLine="0"/>
        <w:jc w:val="right"/>
        <w:rPr>
          <w:rFonts w:cs="Times New Roman"/>
          <w:szCs w:val="26"/>
        </w:rPr>
      </w:pPr>
      <w:r w:rsidRPr="002B6F71">
        <w:rPr>
          <w:rFonts w:cs="Times New Roman"/>
          <w:szCs w:val="26"/>
        </w:rPr>
        <w:t xml:space="preserve">        тыс. рублей</w:t>
      </w:r>
    </w:p>
    <w:tbl>
      <w:tblPr>
        <w:tblStyle w:val="111"/>
        <w:tblW w:w="9634" w:type="dxa"/>
        <w:tblLook w:val="04A0" w:firstRow="1" w:lastRow="0" w:firstColumn="1" w:lastColumn="0" w:noHBand="0" w:noVBand="1"/>
      </w:tblPr>
      <w:tblGrid>
        <w:gridCol w:w="5098"/>
        <w:gridCol w:w="1559"/>
        <w:gridCol w:w="1560"/>
        <w:gridCol w:w="1417"/>
      </w:tblGrid>
      <w:tr w:rsidR="002B6F71" w:rsidRPr="002B6F71" w:rsidTr="002B6F71">
        <w:trPr>
          <w:trHeight w:val="57"/>
        </w:trPr>
        <w:tc>
          <w:tcPr>
            <w:tcW w:w="5098" w:type="dxa"/>
            <w:vMerge w:val="restart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2977" w:type="dxa"/>
            <w:gridSpan w:val="2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 xml:space="preserve">Исполнение 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  <w:vMerge/>
          </w:tcPr>
          <w:p w:rsidR="002B6F71" w:rsidRPr="002B6F71" w:rsidRDefault="002B6F71" w:rsidP="002B6F71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vMerge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%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«Инфраструктура для жизни»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143 225,1</w:t>
            </w: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3 650,0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2,5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«Эффективная и конкурентная экономика»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4 376,5</w:t>
            </w: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«Молодежь и дети»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77 916,0</w:t>
            </w: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19 191,6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24,6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</w:tcPr>
          <w:p w:rsidR="002B6F71" w:rsidRPr="002B6F71" w:rsidRDefault="002B6F71" w:rsidP="002B6F71">
            <w:pPr>
              <w:ind w:firstLine="0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«Семья»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</w:tr>
      <w:tr w:rsidR="002B6F71" w:rsidRPr="002B6F71" w:rsidTr="002B6F71">
        <w:trPr>
          <w:trHeight w:val="57"/>
        </w:trPr>
        <w:tc>
          <w:tcPr>
            <w:tcW w:w="509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559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225 517,6</w:t>
            </w:r>
          </w:p>
        </w:tc>
        <w:tc>
          <w:tcPr>
            <w:tcW w:w="1560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22 841,6</w:t>
            </w:r>
          </w:p>
        </w:tc>
        <w:tc>
          <w:tcPr>
            <w:tcW w:w="1417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10,1</w:t>
            </w:r>
          </w:p>
        </w:tc>
      </w:tr>
    </w:tbl>
    <w:p w:rsidR="002B6F71" w:rsidRDefault="002B6F71" w:rsidP="002B6F71">
      <w:pPr>
        <w:spacing w:line="276" w:lineRule="auto"/>
        <w:rPr>
          <w:rFonts w:cs="Times New Roman"/>
          <w:b/>
          <w:sz w:val="26"/>
          <w:szCs w:val="26"/>
        </w:rPr>
      </w:pPr>
    </w:p>
    <w:p w:rsidR="00AF7992" w:rsidRPr="00AF7992" w:rsidRDefault="00AF7992" w:rsidP="00AF7992">
      <w:pPr>
        <w:spacing w:line="276" w:lineRule="auto"/>
        <w:rPr>
          <w:rFonts w:cs="Times New Roman"/>
          <w:sz w:val="28"/>
          <w:szCs w:val="26"/>
        </w:rPr>
      </w:pPr>
      <w:r w:rsidRPr="00AF7992">
        <w:rPr>
          <w:rFonts w:cs="Times New Roman"/>
          <w:sz w:val="28"/>
          <w:szCs w:val="26"/>
        </w:rPr>
        <w:t xml:space="preserve">Уровень исполнения расходных обязательств в рамках реализации национальных проектов составил 94,3% к кассовому плану (24 215,8 тыс. руб.) (приложение № </w:t>
      </w:r>
      <w:r w:rsidR="00831140">
        <w:rPr>
          <w:rFonts w:cs="Times New Roman"/>
          <w:sz w:val="28"/>
          <w:szCs w:val="26"/>
        </w:rPr>
        <w:t>7</w:t>
      </w:r>
      <w:r w:rsidRPr="00AF7992">
        <w:rPr>
          <w:rFonts w:cs="Times New Roman"/>
          <w:sz w:val="28"/>
          <w:szCs w:val="26"/>
        </w:rPr>
        <w:t>).</w:t>
      </w:r>
    </w:p>
    <w:p w:rsidR="00AF7992" w:rsidRDefault="00AF7992" w:rsidP="00AF7992">
      <w:pPr>
        <w:spacing w:line="276" w:lineRule="auto"/>
        <w:rPr>
          <w:rFonts w:cs="Times New Roman"/>
          <w:sz w:val="28"/>
          <w:szCs w:val="26"/>
        </w:rPr>
      </w:pPr>
      <w:r w:rsidRPr="00AF7992">
        <w:rPr>
          <w:rFonts w:cs="Times New Roman"/>
          <w:sz w:val="28"/>
          <w:szCs w:val="26"/>
        </w:rPr>
        <w:lastRenderedPageBreak/>
        <w:t xml:space="preserve">Согласно информации, </w:t>
      </w:r>
      <w:r w:rsidRPr="009E6067">
        <w:rPr>
          <w:rFonts w:cs="Times New Roman"/>
          <w:sz w:val="28"/>
          <w:szCs w:val="26"/>
        </w:rPr>
        <w:t>поступившей от ответственных исполнителей национальных проектов, исполнение до конца года составит 100%.</w:t>
      </w:r>
    </w:p>
    <w:p w:rsidR="00AF7992" w:rsidRPr="00AF7992" w:rsidRDefault="00AF7992" w:rsidP="00AF7992">
      <w:pPr>
        <w:spacing w:line="276" w:lineRule="auto"/>
        <w:rPr>
          <w:rFonts w:cs="Times New Roman"/>
          <w:sz w:val="28"/>
          <w:szCs w:val="26"/>
        </w:rPr>
      </w:pPr>
    </w:p>
    <w:p w:rsidR="002B6F71" w:rsidRPr="002B6F71" w:rsidRDefault="002B6F71" w:rsidP="002B6F71">
      <w:pPr>
        <w:spacing w:line="276" w:lineRule="auto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>Достижение показателей.</w:t>
      </w:r>
    </w:p>
    <w:p w:rsidR="002B6F71" w:rsidRPr="002B6F71" w:rsidRDefault="002B6F71" w:rsidP="002B6F71">
      <w:pPr>
        <w:spacing w:line="276" w:lineRule="auto"/>
        <w:rPr>
          <w:rFonts w:eastAsia="Times New Roman" w:cs="Times New Roman"/>
          <w:color w:val="000000" w:themeColor="text1"/>
          <w:sz w:val="28"/>
          <w:szCs w:val="26"/>
          <w:lang w:eastAsia="ru-RU"/>
        </w:rPr>
      </w:pPr>
      <w:r w:rsidRPr="002B6F71">
        <w:rPr>
          <w:rFonts w:eastAsia="Times New Roman" w:cs="Times New Roman"/>
          <w:color w:val="000000" w:themeColor="text1"/>
          <w:sz w:val="28"/>
          <w:szCs w:val="26"/>
          <w:lang w:eastAsia="ru-RU"/>
        </w:rPr>
        <w:t xml:space="preserve">В 2025 году установлено к достижению 16 показателей. Риск по </w:t>
      </w:r>
      <w:proofErr w:type="spellStart"/>
      <w:r w:rsidRPr="002B6F71">
        <w:rPr>
          <w:rFonts w:eastAsia="Times New Roman" w:cs="Times New Roman"/>
          <w:color w:val="000000" w:themeColor="text1"/>
          <w:sz w:val="28"/>
          <w:szCs w:val="26"/>
          <w:lang w:eastAsia="ru-RU"/>
        </w:rPr>
        <w:t>недостижению</w:t>
      </w:r>
      <w:proofErr w:type="spellEnd"/>
      <w:r w:rsidRPr="002B6F71">
        <w:rPr>
          <w:rFonts w:eastAsia="Times New Roman" w:cs="Times New Roman"/>
          <w:color w:val="000000" w:themeColor="text1"/>
          <w:sz w:val="28"/>
          <w:szCs w:val="26"/>
          <w:lang w:eastAsia="ru-RU"/>
        </w:rPr>
        <w:t xml:space="preserve"> показателей национальных проектов отсутствует. </w:t>
      </w:r>
    </w:p>
    <w:p w:rsidR="002B6F71" w:rsidRPr="002B6F71" w:rsidRDefault="002B6F71" w:rsidP="002B6F71">
      <w:pPr>
        <w:spacing w:line="276" w:lineRule="auto"/>
        <w:rPr>
          <w:rFonts w:eastAsia="Times New Roman" w:cs="Times New Roman"/>
          <w:color w:val="000000" w:themeColor="text1"/>
          <w:sz w:val="28"/>
          <w:szCs w:val="26"/>
          <w:lang w:eastAsia="ru-RU"/>
        </w:rPr>
      </w:pPr>
      <w:r w:rsidRPr="002B6F71">
        <w:rPr>
          <w:rFonts w:eastAsia="Times New Roman" w:cs="Times New Roman"/>
          <w:color w:val="000000" w:themeColor="text1"/>
          <w:sz w:val="28"/>
          <w:szCs w:val="26"/>
          <w:lang w:eastAsia="ru-RU"/>
        </w:rPr>
        <w:t>События национальных проектов в городе Пыть-Ях (Приложение №</w:t>
      </w:r>
      <w:r w:rsidR="00AF7992">
        <w:rPr>
          <w:rFonts w:eastAsia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831140">
        <w:rPr>
          <w:rFonts w:eastAsia="Times New Roman" w:cs="Times New Roman"/>
          <w:color w:val="000000" w:themeColor="text1"/>
          <w:sz w:val="28"/>
          <w:szCs w:val="26"/>
          <w:lang w:eastAsia="ru-RU"/>
        </w:rPr>
        <w:t>8</w:t>
      </w:r>
      <w:r w:rsidRPr="002B6F71">
        <w:rPr>
          <w:rFonts w:eastAsia="Times New Roman" w:cs="Times New Roman"/>
          <w:color w:val="000000" w:themeColor="text1"/>
          <w:sz w:val="28"/>
          <w:szCs w:val="26"/>
          <w:lang w:eastAsia="ru-RU"/>
        </w:rPr>
        <w:t>).</w:t>
      </w:r>
    </w:p>
    <w:p w:rsidR="004B0CE2" w:rsidRDefault="004B0CE2" w:rsidP="002B6F71">
      <w:pPr>
        <w:spacing w:line="276" w:lineRule="auto"/>
        <w:rPr>
          <w:rFonts w:cs="Times New Roman"/>
          <w:sz w:val="28"/>
          <w:szCs w:val="26"/>
        </w:rPr>
      </w:pPr>
    </w:p>
    <w:p w:rsidR="002B6F71" w:rsidRPr="002B6F71" w:rsidRDefault="002B6F71" w:rsidP="002B6F71">
      <w:pPr>
        <w:spacing w:line="276" w:lineRule="auto"/>
        <w:rPr>
          <w:rFonts w:cs="Times New Roman"/>
          <w:sz w:val="28"/>
          <w:szCs w:val="26"/>
        </w:rPr>
      </w:pPr>
      <w:r>
        <w:rPr>
          <w:rFonts w:cs="Times New Roman"/>
          <w:sz w:val="28"/>
          <w:szCs w:val="26"/>
        </w:rPr>
        <w:t>Р</w:t>
      </w:r>
      <w:r w:rsidRPr="002B6F71">
        <w:rPr>
          <w:rFonts w:cs="Times New Roman"/>
          <w:sz w:val="28"/>
          <w:szCs w:val="26"/>
        </w:rPr>
        <w:t>егиональны</w:t>
      </w:r>
      <w:r>
        <w:rPr>
          <w:rFonts w:cs="Times New Roman"/>
          <w:sz w:val="28"/>
          <w:szCs w:val="26"/>
        </w:rPr>
        <w:t>е</w:t>
      </w:r>
      <w:r w:rsidRPr="002B6F71">
        <w:rPr>
          <w:rFonts w:cs="Times New Roman"/>
          <w:sz w:val="28"/>
          <w:szCs w:val="26"/>
        </w:rPr>
        <w:t xml:space="preserve"> проект</w:t>
      </w:r>
      <w:r>
        <w:rPr>
          <w:rFonts w:cs="Times New Roman"/>
          <w:sz w:val="28"/>
          <w:szCs w:val="26"/>
        </w:rPr>
        <w:t>ы:</w:t>
      </w:r>
    </w:p>
    <w:p w:rsidR="002B6F71" w:rsidRPr="002B6F71" w:rsidRDefault="002B6F71" w:rsidP="002B6F71">
      <w:pPr>
        <w:spacing w:line="276" w:lineRule="auto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>В рамках реализации проекторной деятельности город Пыть-Ях участвует в 5</w:t>
      </w:r>
      <w:r w:rsidRPr="002B6F71">
        <w:rPr>
          <w:rFonts w:cs="Times New Roman"/>
          <w:b/>
          <w:sz w:val="28"/>
          <w:szCs w:val="26"/>
        </w:rPr>
        <w:t xml:space="preserve"> </w:t>
      </w:r>
      <w:r w:rsidRPr="002B6F71">
        <w:rPr>
          <w:rFonts w:cs="Times New Roman"/>
          <w:sz w:val="28"/>
          <w:szCs w:val="26"/>
        </w:rPr>
        <w:t>региональных проектах, не входящих в состав</w:t>
      </w:r>
      <w:r w:rsidRPr="002B6F71">
        <w:rPr>
          <w:rFonts w:eastAsia="Times New Roman" w:cs="Times New Roman"/>
          <w:sz w:val="28"/>
          <w:szCs w:val="24"/>
          <w:lang w:eastAsia="ru-RU"/>
        </w:rPr>
        <w:t xml:space="preserve"> </w:t>
      </w:r>
      <w:r w:rsidRPr="002B6F71">
        <w:rPr>
          <w:rFonts w:cs="Times New Roman"/>
          <w:sz w:val="28"/>
          <w:szCs w:val="26"/>
        </w:rPr>
        <w:t xml:space="preserve">национальных проектов (приложение № </w:t>
      </w:r>
      <w:r w:rsidR="00831140">
        <w:rPr>
          <w:rFonts w:cs="Times New Roman"/>
          <w:sz w:val="28"/>
          <w:szCs w:val="26"/>
        </w:rPr>
        <w:t>9</w:t>
      </w:r>
      <w:bookmarkStart w:id="0" w:name="_GoBack"/>
      <w:bookmarkEnd w:id="0"/>
      <w:r w:rsidRPr="002B6F71">
        <w:rPr>
          <w:rFonts w:cs="Times New Roman"/>
          <w:sz w:val="28"/>
          <w:szCs w:val="26"/>
        </w:rPr>
        <w:t xml:space="preserve">). </w:t>
      </w:r>
    </w:p>
    <w:p w:rsidR="002B6F71" w:rsidRDefault="002B6F71" w:rsidP="002B6F71">
      <w:pPr>
        <w:spacing w:line="276" w:lineRule="auto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>На реализацию региональных проектов в 2025 году предусмотрено 339 593,2 тыс. рублей. Исполнение на 01.04.2025 года составило 289,7 тыс. руб. или 0,09% от плана.</w:t>
      </w:r>
    </w:p>
    <w:p w:rsidR="002B6F71" w:rsidRPr="002B6F71" w:rsidRDefault="002B6F71" w:rsidP="002B6F71">
      <w:pPr>
        <w:spacing w:line="276" w:lineRule="auto"/>
        <w:rPr>
          <w:rFonts w:eastAsia="Calibri" w:cs="Times New Roman"/>
          <w:b/>
          <w:sz w:val="32"/>
          <w:szCs w:val="28"/>
        </w:rPr>
      </w:pPr>
    </w:p>
    <w:p w:rsidR="002B6F71" w:rsidRPr="002B6F71" w:rsidRDefault="002B6F71" w:rsidP="002B6F71">
      <w:pPr>
        <w:spacing w:line="276" w:lineRule="auto"/>
        <w:jc w:val="right"/>
        <w:rPr>
          <w:rFonts w:cs="Times New Roman"/>
          <w:szCs w:val="24"/>
        </w:rPr>
      </w:pPr>
      <w:r w:rsidRPr="002B6F71">
        <w:rPr>
          <w:rFonts w:cs="Times New Roman"/>
          <w:szCs w:val="24"/>
        </w:rPr>
        <w:t>тыс. руб.</w:t>
      </w:r>
    </w:p>
    <w:tbl>
      <w:tblPr>
        <w:tblStyle w:val="111"/>
        <w:tblW w:w="9636" w:type="dxa"/>
        <w:tblLayout w:type="fixed"/>
        <w:tblLook w:val="04A0" w:firstRow="1" w:lastRow="0" w:firstColumn="1" w:lastColumn="0" w:noHBand="0" w:noVBand="1"/>
      </w:tblPr>
      <w:tblGrid>
        <w:gridCol w:w="6091"/>
        <w:gridCol w:w="1418"/>
        <w:gridCol w:w="1134"/>
        <w:gridCol w:w="993"/>
      </w:tblGrid>
      <w:tr w:rsidR="002B6F71" w:rsidRPr="002B6F71" w:rsidTr="002B6F71">
        <w:trPr>
          <w:trHeight w:val="57"/>
        </w:trPr>
        <w:tc>
          <w:tcPr>
            <w:tcW w:w="6091" w:type="dxa"/>
            <w:vMerge w:val="restart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Наименование регионального проекта</w:t>
            </w:r>
          </w:p>
        </w:tc>
        <w:tc>
          <w:tcPr>
            <w:tcW w:w="1418" w:type="dxa"/>
            <w:vMerge w:val="restart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2127" w:type="dxa"/>
            <w:gridSpan w:val="2"/>
            <w:vAlign w:val="center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 xml:space="preserve">Исполнение 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  <w:vMerge/>
          </w:tcPr>
          <w:p w:rsidR="002B6F71" w:rsidRPr="002B6F71" w:rsidRDefault="002B6F71" w:rsidP="002B6F71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%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«Повышение финансовой грамотности»</w:t>
            </w:r>
          </w:p>
        </w:tc>
        <w:tc>
          <w:tcPr>
            <w:tcW w:w="3545" w:type="dxa"/>
            <w:gridSpan w:val="3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Без финансирования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«Сохранение культурного и исторического наследия»</w:t>
            </w:r>
          </w:p>
        </w:tc>
        <w:tc>
          <w:tcPr>
            <w:tcW w:w="141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530,3</w:t>
            </w: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289,7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54,6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41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83 987,7</w:t>
            </w: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41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254 935,1</w:t>
            </w: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Развитие спорта высших достижений</w:t>
            </w:r>
          </w:p>
        </w:tc>
        <w:tc>
          <w:tcPr>
            <w:tcW w:w="141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140,1</w:t>
            </w: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B6F71">
              <w:rPr>
                <w:rFonts w:cs="Times New Roman"/>
                <w:szCs w:val="24"/>
              </w:rPr>
              <w:t>0,0</w:t>
            </w:r>
          </w:p>
        </w:tc>
      </w:tr>
      <w:tr w:rsidR="002B6F71" w:rsidRPr="002B6F71" w:rsidTr="002B6F71">
        <w:trPr>
          <w:trHeight w:val="57"/>
        </w:trPr>
        <w:tc>
          <w:tcPr>
            <w:tcW w:w="6091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418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339 593,2</w:t>
            </w:r>
          </w:p>
        </w:tc>
        <w:tc>
          <w:tcPr>
            <w:tcW w:w="1134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289,7</w:t>
            </w:r>
          </w:p>
        </w:tc>
        <w:tc>
          <w:tcPr>
            <w:tcW w:w="993" w:type="dxa"/>
          </w:tcPr>
          <w:p w:rsidR="002B6F71" w:rsidRPr="002B6F71" w:rsidRDefault="002B6F71" w:rsidP="002B6F71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B6F71">
              <w:rPr>
                <w:rFonts w:cs="Times New Roman"/>
                <w:b/>
                <w:szCs w:val="24"/>
              </w:rPr>
              <w:t>0,09</w:t>
            </w:r>
          </w:p>
        </w:tc>
      </w:tr>
    </w:tbl>
    <w:p w:rsidR="002B6F71" w:rsidRPr="002B6F71" w:rsidRDefault="002B6F71" w:rsidP="002B6F71">
      <w:pPr>
        <w:spacing w:line="276" w:lineRule="auto"/>
        <w:rPr>
          <w:rFonts w:cs="Times New Roman"/>
          <w:sz w:val="26"/>
          <w:szCs w:val="26"/>
        </w:rPr>
      </w:pPr>
    </w:p>
    <w:p w:rsidR="002B6F71" w:rsidRPr="002B6F71" w:rsidRDefault="002B6F71" w:rsidP="002B6F71">
      <w:pPr>
        <w:spacing w:line="276" w:lineRule="auto"/>
        <w:ind w:firstLine="708"/>
        <w:rPr>
          <w:rFonts w:cs="Times New Roman"/>
          <w:sz w:val="28"/>
          <w:szCs w:val="26"/>
        </w:rPr>
      </w:pPr>
      <w:r w:rsidRPr="002B6F71">
        <w:rPr>
          <w:rFonts w:cs="Times New Roman"/>
          <w:sz w:val="28"/>
          <w:szCs w:val="26"/>
        </w:rPr>
        <w:t xml:space="preserve">В 2025 году установлено к достижению 6 показателей. Риски </w:t>
      </w:r>
      <w:proofErr w:type="spellStart"/>
      <w:r w:rsidRPr="002B6F71">
        <w:rPr>
          <w:rFonts w:cs="Times New Roman"/>
          <w:sz w:val="28"/>
          <w:szCs w:val="26"/>
        </w:rPr>
        <w:t>недостижения</w:t>
      </w:r>
      <w:proofErr w:type="spellEnd"/>
      <w:r w:rsidRPr="002B6F71">
        <w:rPr>
          <w:rFonts w:cs="Times New Roman"/>
          <w:sz w:val="28"/>
          <w:szCs w:val="26"/>
        </w:rPr>
        <w:t xml:space="preserve"> показателей региональных проектов отсутствует. </w:t>
      </w:r>
    </w:p>
    <w:p w:rsidR="002845C3" w:rsidRPr="00747380" w:rsidRDefault="002845C3" w:rsidP="00027CEC">
      <w:pPr>
        <w:rPr>
          <w:color w:val="FF0000"/>
          <w:sz w:val="28"/>
        </w:rPr>
      </w:pPr>
    </w:p>
    <w:p w:rsidR="002845C3" w:rsidRPr="00747380" w:rsidRDefault="002845C3" w:rsidP="00027CEC">
      <w:pPr>
        <w:rPr>
          <w:color w:val="FF0000"/>
          <w:sz w:val="28"/>
        </w:rPr>
      </w:pPr>
    </w:p>
    <w:sectPr w:rsidR="002845C3" w:rsidRPr="00747380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42DB1"/>
    <w:multiLevelType w:val="hybridMultilevel"/>
    <w:tmpl w:val="315AA7C4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2F1165"/>
    <w:multiLevelType w:val="hybridMultilevel"/>
    <w:tmpl w:val="10561438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B8763C2"/>
    <w:multiLevelType w:val="hybridMultilevel"/>
    <w:tmpl w:val="9A402C4E"/>
    <w:lvl w:ilvl="0" w:tplc="4684A2F8">
      <w:start w:val="1"/>
      <w:numFmt w:val="bullet"/>
      <w:lvlText w:val="-"/>
      <w:lvlJc w:val="left"/>
      <w:pPr>
        <w:ind w:left="720" w:hanging="360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257FC"/>
    <w:multiLevelType w:val="hybridMultilevel"/>
    <w:tmpl w:val="34AC0F8A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27CEC"/>
    <w:rsid w:val="000431BC"/>
    <w:rsid w:val="000B4BAD"/>
    <w:rsid w:val="000B6D07"/>
    <w:rsid w:val="00160F57"/>
    <w:rsid w:val="00191139"/>
    <w:rsid w:val="00197E6A"/>
    <w:rsid w:val="001F3F59"/>
    <w:rsid w:val="002131DE"/>
    <w:rsid w:val="00274ED1"/>
    <w:rsid w:val="0028193C"/>
    <w:rsid w:val="002845C3"/>
    <w:rsid w:val="002A6FDD"/>
    <w:rsid w:val="002B6F71"/>
    <w:rsid w:val="002C4ACD"/>
    <w:rsid w:val="002C6D55"/>
    <w:rsid w:val="002C74A7"/>
    <w:rsid w:val="002D5AED"/>
    <w:rsid w:val="00301C79"/>
    <w:rsid w:val="003A29A6"/>
    <w:rsid w:val="00423501"/>
    <w:rsid w:val="004B0CE2"/>
    <w:rsid w:val="004D1C3E"/>
    <w:rsid w:val="004F6C0C"/>
    <w:rsid w:val="00501579"/>
    <w:rsid w:val="00666E71"/>
    <w:rsid w:val="006C1A02"/>
    <w:rsid w:val="0072205A"/>
    <w:rsid w:val="00735A02"/>
    <w:rsid w:val="00747380"/>
    <w:rsid w:val="00782080"/>
    <w:rsid w:val="00804199"/>
    <w:rsid w:val="00831140"/>
    <w:rsid w:val="008B20E2"/>
    <w:rsid w:val="008C7E02"/>
    <w:rsid w:val="008E20BB"/>
    <w:rsid w:val="00912FF0"/>
    <w:rsid w:val="009A7425"/>
    <w:rsid w:val="009B7608"/>
    <w:rsid w:val="009E6067"/>
    <w:rsid w:val="00A05F10"/>
    <w:rsid w:val="00AA3306"/>
    <w:rsid w:val="00AD0B9F"/>
    <w:rsid w:val="00AF7992"/>
    <w:rsid w:val="00B279BC"/>
    <w:rsid w:val="00B5588C"/>
    <w:rsid w:val="00B80752"/>
    <w:rsid w:val="00B82588"/>
    <w:rsid w:val="00B90911"/>
    <w:rsid w:val="00B90C0E"/>
    <w:rsid w:val="00BD1501"/>
    <w:rsid w:val="00BD72AB"/>
    <w:rsid w:val="00C316E2"/>
    <w:rsid w:val="00C46858"/>
    <w:rsid w:val="00C765FC"/>
    <w:rsid w:val="00CF50C0"/>
    <w:rsid w:val="00D242EE"/>
    <w:rsid w:val="00D729DA"/>
    <w:rsid w:val="00DB782D"/>
    <w:rsid w:val="00DD6085"/>
    <w:rsid w:val="00DF314B"/>
    <w:rsid w:val="00E5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82D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5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5"/>
    <w:uiPriority w:val="39"/>
    <w:rsid w:val="0028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8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39"/>
    <w:rsid w:val="000B6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5"/>
    <w:uiPriority w:val="39"/>
    <w:rsid w:val="000B6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44</cp:revision>
  <cp:lastPrinted>2024-10-30T10:30:00Z</cp:lastPrinted>
  <dcterms:created xsi:type="dcterms:W3CDTF">2022-11-02T07:22:00Z</dcterms:created>
  <dcterms:modified xsi:type="dcterms:W3CDTF">2025-04-24T05:07:00Z</dcterms:modified>
</cp:coreProperties>
</file>